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30" w:rsidRDefault="000E4B30" w:rsidP="000E4B30">
      <w:pPr>
        <w:jc w:val="center"/>
        <w:rPr>
          <w:rFonts w:ascii="Arial" w:hAnsi="Arial" w:cs="Arial"/>
          <w:b/>
          <w:sz w:val="32"/>
        </w:rPr>
      </w:pPr>
    </w:p>
    <w:p w:rsidR="000E4B30" w:rsidRPr="00D92C59" w:rsidRDefault="000E4B30" w:rsidP="000E4B30">
      <w:pPr>
        <w:jc w:val="center"/>
        <w:rPr>
          <w:rFonts w:ascii="Arial" w:hAnsi="Arial" w:cs="Arial"/>
          <w:b/>
          <w:sz w:val="32"/>
        </w:rPr>
      </w:pPr>
      <w:r>
        <w:rPr>
          <w:rFonts w:ascii="Arial" w:hAnsi="Arial" w:cs="Arial"/>
          <w:b/>
          <w:sz w:val="32"/>
        </w:rPr>
        <w:t>A</w:t>
      </w:r>
      <w:r w:rsidRPr="00D92C59">
        <w:rPr>
          <w:rFonts w:ascii="Arial" w:hAnsi="Arial" w:cs="Arial"/>
          <w:b/>
          <w:sz w:val="32"/>
        </w:rPr>
        <w:t xml:space="preserve">) NOTAS DE GESTIÓN ADMINISTRATIVA POR EL MES DE </w:t>
      </w:r>
      <w:r>
        <w:rPr>
          <w:rFonts w:ascii="Arial" w:hAnsi="Arial" w:cs="Arial"/>
          <w:b/>
          <w:sz w:val="32"/>
        </w:rPr>
        <w:t>DICIEMBRE</w:t>
      </w:r>
      <w:r w:rsidRPr="00D92C59">
        <w:rPr>
          <w:rFonts w:ascii="Arial" w:hAnsi="Arial" w:cs="Arial"/>
          <w:b/>
          <w:sz w:val="32"/>
        </w:rPr>
        <w:t xml:space="preserve"> DE 2025</w:t>
      </w:r>
    </w:p>
    <w:p w:rsidR="000E4B30" w:rsidRPr="00183F27" w:rsidRDefault="000E4B30" w:rsidP="000E4B30">
      <w:pPr>
        <w:jc w:val="center"/>
        <w:rPr>
          <w:rFonts w:ascii="Arial" w:hAnsi="Arial" w:cs="Arial"/>
          <w:b/>
        </w:rPr>
      </w:pPr>
    </w:p>
    <w:p w:rsidR="000E4B30" w:rsidRDefault="000E4B30" w:rsidP="000E4B30">
      <w:pPr>
        <w:pStyle w:val="Prrafodelista"/>
        <w:numPr>
          <w:ilvl w:val="0"/>
          <w:numId w:val="1"/>
        </w:numPr>
        <w:spacing w:after="200"/>
        <w:jc w:val="both"/>
        <w:rPr>
          <w:rFonts w:ascii="Arial" w:hAnsi="Arial" w:cs="Arial"/>
          <w:b/>
        </w:rPr>
      </w:pPr>
      <w:r w:rsidRPr="00183F27">
        <w:rPr>
          <w:rFonts w:ascii="Arial" w:hAnsi="Arial" w:cs="Arial"/>
          <w:b/>
        </w:rPr>
        <w:t>Introducción</w:t>
      </w:r>
    </w:p>
    <w:p w:rsidR="000E4B30" w:rsidRDefault="000E4B30" w:rsidP="000E4B30">
      <w:pPr>
        <w:pStyle w:val="Prrafodelista"/>
        <w:ind w:left="360"/>
        <w:jc w:val="both"/>
        <w:rPr>
          <w:rFonts w:ascii="Arial" w:hAnsi="Arial" w:cs="Arial"/>
          <w:b/>
        </w:rPr>
      </w:pPr>
    </w:p>
    <w:p w:rsidR="000E4B30" w:rsidRPr="00C9120E" w:rsidRDefault="000E4B30" w:rsidP="000E4B30">
      <w:pPr>
        <w:pStyle w:val="Prrafodelista"/>
        <w:ind w:left="360"/>
        <w:jc w:val="both"/>
        <w:rPr>
          <w:rFonts w:ascii="Arial" w:hAnsi="Arial" w:cs="Arial"/>
        </w:rPr>
      </w:pPr>
      <w:r w:rsidRPr="00C9120E">
        <w:rPr>
          <w:rFonts w:ascii="Arial" w:hAnsi="Arial" w:cs="Arial"/>
        </w:rPr>
        <w:t>El objetivo del presente documento es la revelación del contexto y de los aspectos económicos – financieros más relevantes que influyeron en las decisiones del periodo, y que fueron considerados en la elaboración de</w:t>
      </w:r>
      <w:r>
        <w:rPr>
          <w:rFonts w:ascii="Arial" w:hAnsi="Arial" w:cs="Arial"/>
        </w:rPr>
        <w:t xml:space="preserve"> </w:t>
      </w:r>
      <w:r w:rsidRPr="00C9120E">
        <w:rPr>
          <w:rFonts w:ascii="Arial" w:hAnsi="Arial" w:cs="Arial"/>
        </w:rPr>
        <w:t>los estados financieros para la mayor comprensión de los mismos y sus particularidades.</w:t>
      </w:r>
    </w:p>
    <w:p w:rsidR="000E4B30" w:rsidRPr="00C9120E" w:rsidRDefault="000E4B30" w:rsidP="000E4B30">
      <w:pPr>
        <w:pStyle w:val="Prrafodelista"/>
        <w:ind w:left="708" w:hanging="348"/>
        <w:jc w:val="both"/>
        <w:rPr>
          <w:rFonts w:ascii="Arial" w:hAnsi="Arial" w:cs="Arial"/>
          <w:b/>
        </w:rPr>
      </w:pPr>
    </w:p>
    <w:p w:rsidR="000E4B30" w:rsidRPr="00C9120E" w:rsidRDefault="000E4B30" w:rsidP="000E4B30">
      <w:pPr>
        <w:pStyle w:val="Prrafodelista"/>
        <w:ind w:left="360"/>
        <w:jc w:val="both"/>
        <w:rPr>
          <w:rFonts w:ascii="Arial" w:hAnsi="Arial" w:cs="Arial"/>
        </w:rPr>
      </w:pPr>
      <w:r w:rsidRPr="00C9120E">
        <w:rPr>
          <w:rFonts w:ascii="Arial" w:hAnsi="Arial" w:cs="Arial"/>
        </w:rPr>
        <w:t>Recibimos oficio No. SFA/0</w:t>
      </w:r>
      <w:r>
        <w:rPr>
          <w:rFonts w:ascii="Arial" w:hAnsi="Arial" w:cs="Arial"/>
        </w:rPr>
        <w:t>43</w:t>
      </w:r>
      <w:r w:rsidRPr="00C9120E">
        <w:rPr>
          <w:rFonts w:ascii="Arial" w:hAnsi="Arial" w:cs="Arial"/>
        </w:rPr>
        <w:t>/202</w:t>
      </w:r>
      <w:r>
        <w:rPr>
          <w:rFonts w:ascii="Arial" w:hAnsi="Arial" w:cs="Arial"/>
        </w:rPr>
        <w:t>5</w:t>
      </w:r>
      <w:r w:rsidRPr="00C9120E">
        <w:rPr>
          <w:rFonts w:ascii="Arial" w:hAnsi="Arial" w:cs="Arial"/>
        </w:rPr>
        <w:t xml:space="preserve"> de la Secretaría de Finanzas y Administración de fecha 0</w:t>
      </w:r>
      <w:r>
        <w:rPr>
          <w:rFonts w:ascii="Arial" w:hAnsi="Arial" w:cs="Arial"/>
        </w:rPr>
        <w:t>2</w:t>
      </w:r>
      <w:r w:rsidRPr="00C9120E">
        <w:rPr>
          <w:rFonts w:ascii="Arial" w:hAnsi="Arial" w:cs="Arial"/>
        </w:rPr>
        <w:t xml:space="preserve"> de enero de 202</w:t>
      </w:r>
      <w:r>
        <w:rPr>
          <w:rFonts w:ascii="Arial" w:hAnsi="Arial" w:cs="Arial"/>
        </w:rPr>
        <w:t>5</w:t>
      </w:r>
      <w:r w:rsidRPr="00C9120E">
        <w:rPr>
          <w:rFonts w:ascii="Arial" w:hAnsi="Arial" w:cs="Arial"/>
        </w:rPr>
        <w:t>, donde se nos comunica el Presupuesto de Egresos para el Ejercicio Fiscal 202</w:t>
      </w:r>
      <w:r>
        <w:rPr>
          <w:rFonts w:ascii="Arial" w:hAnsi="Arial" w:cs="Arial"/>
        </w:rPr>
        <w:t>5</w:t>
      </w:r>
      <w:r w:rsidRPr="00C9120E">
        <w:rPr>
          <w:rFonts w:ascii="Arial" w:hAnsi="Arial" w:cs="Arial"/>
        </w:rPr>
        <w:t xml:space="preserve"> ascendiendo a </w:t>
      </w:r>
      <w:r>
        <w:rPr>
          <w:rFonts w:ascii="Arial" w:hAnsi="Arial" w:cs="Arial"/>
        </w:rPr>
        <w:t xml:space="preserve">un total de </w:t>
      </w:r>
      <w:r w:rsidRPr="00C9120E">
        <w:rPr>
          <w:rFonts w:ascii="Arial" w:hAnsi="Arial" w:cs="Arial"/>
        </w:rPr>
        <w:t>$</w:t>
      </w:r>
      <w:r>
        <w:rPr>
          <w:rFonts w:ascii="Arial" w:hAnsi="Arial" w:cs="Arial"/>
        </w:rPr>
        <w:t>$98</w:t>
      </w:r>
      <w:r w:rsidRPr="00183F27">
        <w:rPr>
          <w:rFonts w:ascii="Arial" w:hAnsi="Arial" w:cs="Arial"/>
        </w:rPr>
        <w:t>’</w:t>
      </w:r>
      <w:r>
        <w:rPr>
          <w:rFonts w:ascii="Arial" w:hAnsi="Arial" w:cs="Arial"/>
        </w:rPr>
        <w:t>801</w:t>
      </w:r>
      <w:r w:rsidRPr="00183F27">
        <w:rPr>
          <w:rFonts w:ascii="Arial" w:hAnsi="Arial" w:cs="Arial"/>
        </w:rPr>
        <w:t>,</w:t>
      </w:r>
      <w:r>
        <w:rPr>
          <w:rFonts w:ascii="Arial" w:hAnsi="Arial" w:cs="Arial"/>
        </w:rPr>
        <w:t>054</w:t>
      </w:r>
      <w:r w:rsidRPr="00183F27">
        <w:rPr>
          <w:rFonts w:ascii="Arial" w:hAnsi="Arial" w:cs="Arial"/>
        </w:rPr>
        <w:t>.00</w:t>
      </w:r>
      <w:r w:rsidRPr="00C9120E">
        <w:rPr>
          <w:rFonts w:ascii="Arial" w:hAnsi="Arial" w:cs="Arial"/>
        </w:rPr>
        <w:t xml:space="preserve"> (Noventa y </w:t>
      </w:r>
      <w:r>
        <w:rPr>
          <w:rFonts w:ascii="Arial" w:hAnsi="Arial" w:cs="Arial"/>
        </w:rPr>
        <w:t>ocho</w:t>
      </w:r>
      <w:r w:rsidRPr="00C9120E">
        <w:rPr>
          <w:rFonts w:ascii="Arial" w:hAnsi="Arial" w:cs="Arial"/>
        </w:rPr>
        <w:t xml:space="preserve"> millones, </w:t>
      </w:r>
      <w:r>
        <w:rPr>
          <w:rFonts w:ascii="Arial" w:hAnsi="Arial" w:cs="Arial"/>
        </w:rPr>
        <w:t>ochocientos un mil cincuenta y cuatro</w:t>
      </w:r>
      <w:r w:rsidRPr="00C9120E">
        <w:rPr>
          <w:rFonts w:ascii="Arial" w:hAnsi="Arial" w:cs="Arial"/>
        </w:rPr>
        <w:t xml:space="preserve"> pesos 00/100 M.N.).</w:t>
      </w:r>
    </w:p>
    <w:p w:rsidR="000E4B30" w:rsidRPr="00183F27" w:rsidRDefault="000E4B30" w:rsidP="000E4B30">
      <w:pPr>
        <w:pStyle w:val="Prrafodelista"/>
        <w:ind w:left="360"/>
        <w:jc w:val="both"/>
        <w:rPr>
          <w:rFonts w:ascii="Arial" w:hAnsi="Arial" w:cs="Arial"/>
        </w:rPr>
      </w:pPr>
    </w:p>
    <w:tbl>
      <w:tblPr>
        <w:tblStyle w:val="Tablaconcuadrcula"/>
        <w:tblW w:w="0" w:type="auto"/>
        <w:jc w:val="center"/>
        <w:tblLook w:val="04A0" w:firstRow="1" w:lastRow="0" w:firstColumn="1" w:lastColumn="0" w:noHBand="0" w:noVBand="1"/>
      </w:tblPr>
      <w:tblGrid>
        <w:gridCol w:w="2856"/>
        <w:gridCol w:w="2816"/>
        <w:gridCol w:w="2796"/>
      </w:tblGrid>
      <w:tr w:rsidR="000E4B30" w:rsidRPr="00183F27" w:rsidTr="00F34562">
        <w:trPr>
          <w:jc w:val="center"/>
        </w:trPr>
        <w:tc>
          <w:tcPr>
            <w:tcW w:w="8468" w:type="dxa"/>
            <w:gridSpan w:val="3"/>
            <w:shd w:val="clear" w:color="auto" w:fill="D9D9D9" w:themeFill="background1" w:themeFillShade="D9"/>
          </w:tcPr>
          <w:p w:rsidR="000E4B30" w:rsidRPr="00183F27" w:rsidRDefault="000E4B30" w:rsidP="00F34562">
            <w:pPr>
              <w:pStyle w:val="Prrafodelista"/>
              <w:ind w:left="0"/>
              <w:jc w:val="center"/>
              <w:rPr>
                <w:rFonts w:ascii="Arial" w:hAnsi="Arial" w:cs="Arial"/>
              </w:rPr>
            </w:pPr>
            <w:r w:rsidRPr="00183F27">
              <w:rPr>
                <w:rFonts w:ascii="Arial" w:hAnsi="Arial" w:cs="Arial"/>
                <w:b/>
              </w:rPr>
              <w:t>Presupuesto Asignado</w:t>
            </w:r>
          </w:p>
        </w:tc>
      </w:tr>
      <w:tr w:rsidR="000E4B30" w:rsidRPr="00183F27" w:rsidTr="00F34562">
        <w:trPr>
          <w:jc w:val="center"/>
        </w:trPr>
        <w:tc>
          <w:tcPr>
            <w:tcW w:w="2856"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sidRPr="00183F27">
              <w:rPr>
                <w:rFonts w:ascii="Arial" w:hAnsi="Arial" w:cs="Arial"/>
                <w:b/>
              </w:rPr>
              <w:t>Estatal</w:t>
            </w:r>
          </w:p>
        </w:tc>
        <w:tc>
          <w:tcPr>
            <w:tcW w:w="2816"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sidRPr="00183F27">
              <w:rPr>
                <w:rFonts w:ascii="Arial" w:hAnsi="Arial" w:cs="Arial"/>
                <w:b/>
              </w:rPr>
              <w:t>Federal</w:t>
            </w:r>
          </w:p>
        </w:tc>
        <w:tc>
          <w:tcPr>
            <w:tcW w:w="2796"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sidRPr="00183F27">
              <w:rPr>
                <w:rFonts w:ascii="Arial" w:hAnsi="Arial" w:cs="Arial"/>
                <w:b/>
              </w:rPr>
              <w:t>Total</w:t>
            </w:r>
          </w:p>
        </w:tc>
      </w:tr>
      <w:tr w:rsidR="000E4B30" w:rsidRPr="00183F27" w:rsidTr="00F34562">
        <w:trPr>
          <w:jc w:val="center"/>
        </w:trPr>
        <w:tc>
          <w:tcPr>
            <w:tcW w:w="2856" w:type="dxa"/>
          </w:tcPr>
          <w:p w:rsidR="000E4B30" w:rsidRPr="00183F27" w:rsidRDefault="000E4B30" w:rsidP="00F34562">
            <w:pPr>
              <w:pStyle w:val="Prrafodelista"/>
              <w:ind w:left="0"/>
              <w:jc w:val="center"/>
              <w:rPr>
                <w:rFonts w:ascii="Arial" w:hAnsi="Arial" w:cs="Arial"/>
              </w:rPr>
            </w:pPr>
            <w:r>
              <w:rPr>
                <w:rFonts w:ascii="Arial" w:hAnsi="Arial" w:cs="Arial"/>
              </w:rPr>
              <w:t>$48,674,730.00</w:t>
            </w:r>
          </w:p>
        </w:tc>
        <w:tc>
          <w:tcPr>
            <w:tcW w:w="2816" w:type="dxa"/>
          </w:tcPr>
          <w:p w:rsidR="000E4B30" w:rsidRPr="00183F27" w:rsidRDefault="000E4B30" w:rsidP="00F34562">
            <w:pPr>
              <w:pStyle w:val="Prrafodelista"/>
              <w:ind w:left="0"/>
              <w:jc w:val="center"/>
              <w:rPr>
                <w:rFonts w:ascii="Arial" w:hAnsi="Arial" w:cs="Arial"/>
              </w:rPr>
            </w:pPr>
            <w:r w:rsidRPr="00183F27">
              <w:rPr>
                <w:rFonts w:ascii="Arial" w:hAnsi="Arial" w:cs="Arial"/>
              </w:rPr>
              <w:t>$</w:t>
            </w:r>
            <w:r>
              <w:rPr>
                <w:rFonts w:ascii="Arial" w:hAnsi="Arial" w:cs="Arial"/>
              </w:rPr>
              <w:t>50,126,324.00</w:t>
            </w:r>
          </w:p>
        </w:tc>
        <w:tc>
          <w:tcPr>
            <w:tcW w:w="2796" w:type="dxa"/>
          </w:tcPr>
          <w:p w:rsidR="000E4B30" w:rsidRPr="00183F27" w:rsidRDefault="000E4B30" w:rsidP="00F34562">
            <w:pPr>
              <w:pStyle w:val="Prrafodelista"/>
              <w:ind w:left="0"/>
              <w:jc w:val="center"/>
              <w:rPr>
                <w:rFonts w:ascii="Arial" w:hAnsi="Arial" w:cs="Arial"/>
              </w:rPr>
            </w:pPr>
            <w:r>
              <w:rPr>
                <w:rFonts w:ascii="Arial" w:hAnsi="Arial" w:cs="Arial"/>
              </w:rPr>
              <w:t>$98</w:t>
            </w:r>
            <w:r w:rsidRPr="00183F27">
              <w:rPr>
                <w:rFonts w:ascii="Arial" w:hAnsi="Arial" w:cs="Arial"/>
              </w:rPr>
              <w:t>’</w:t>
            </w:r>
            <w:r>
              <w:rPr>
                <w:rFonts w:ascii="Arial" w:hAnsi="Arial" w:cs="Arial"/>
              </w:rPr>
              <w:t>801</w:t>
            </w:r>
            <w:r w:rsidRPr="00183F27">
              <w:rPr>
                <w:rFonts w:ascii="Arial" w:hAnsi="Arial" w:cs="Arial"/>
              </w:rPr>
              <w:t>,</w:t>
            </w:r>
            <w:r>
              <w:rPr>
                <w:rFonts w:ascii="Arial" w:hAnsi="Arial" w:cs="Arial"/>
              </w:rPr>
              <w:t>054</w:t>
            </w:r>
            <w:r w:rsidRPr="00183F27">
              <w:rPr>
                <w:rFonts w:ascii="Arial" w:hAnsi="Arial" w:cs="Arial"/>
              </w:rPr>
              <w:t>.00</w:t>
            </w:r>
          </w:p>
        </w:tc>
      </w:tr>
    </w:tbl>
    <w:p w:rsidR="000E4B30" w:rsidRDefault="000E4B30" w:rsidP="000E4B30">
      <w:pPr>
        <w:pStyle w:val="Prrafodelista"/>
        <w:ind w:left="360"/>
        <w:jc w:val="both"/>
        <w:rPr>
          <w:rFonts w:ascii="Arial" w:hAnsi="Arial" w:cs="Arial"/>
        </w:rPr>
      </w:pPr>
    </w:p>
    <w:p w:rsidR="000E4B30" w:rsidRPr="00183F27" w:rsidRDefault="000E4B30" w:rsidP="000E4B30">
      <w:pPr>
        <w:pStyle w:val="Prrafodelista"/>
        <w:ind w:left="360"/>
        <w:jc w:val="both"/>
        <w:rPr>
          <w:rFonts w:ascii="Arial" w:hAnsi="Arial" w:cs="Arial"/>
        </w:rPr>
      </w:pPr>
      <w:r>
        <w:rPr>
          <w:rFonts w:ascii="Arial" w:hAnsi="Arial" w:cs="Arial"/>
        </w:rPr>
        <w:t xml:space="preserve">Posteriormente, se nos informa, por parte de la Federación y el Gobierno del Estado de Michoacán de Ocampo, el monto asignado a través de nuestro Anexo de ejecución para el presente ejercicio fiscal, donde </w:t>
      </w:r>
      <w:r w:rsidRPr="00183F27">
        <w:rPr>
          <w:rFonts w:ascii="Arial" w:hAnsi="Arial" w:cs="Arial"/>
        </w:rPr>
        <w:t>se nos asigna la Disponibilidad Pre</w:t>
      </w:r>
      <w:r>
        <w:rPr>
          <w:rFonts w:ascii="Arial" w:hAnsi="Arial" w:cs="Arial"/>
        </w:rPr>
        <w:t>supuestal para el ejercicio 2025</w:t>
      </w:r>
      <w:r w:rsidRPr="00183F27">
        <w:rPr>
          <w:rFonts w:ascii="Arial" w:hAnsi="Arial" w:cs="Arial"/>
        </w:rPr>
        <w:t xml:space="preserve"> como sigue:</w:t>
      </w:r>
    </w:p>
    <w:p w:rsidR="000E4B30" w:rsidRPr="00183F27" w:rsidRDefault="000E4B30" w:rsidP="000E4B30">
      <w:pPr>
        <w:pStyle w:val="Prrafodelista"/>
        <w:ind w:left="360"/>
        <w:jc w:val="both"/>
        <w:rPr>
          <w:rFonts w:ascii="Arial" w:hAnsi="Arial" w:cs="Arial"/>
        </w:rPr>
      </w:pPr>
    </w:p>
    <w:tbl>
      <w:tblPr>
        <w:tblStyle w:val="Tablaconcuadrcula"/>
        <w:tblW w:w="0" w:type="auto"/>
        <w:jc w:val="center"/>
        <w:tblLook w:val="04A0" w:firstRow="1" w:lastRow="0" w:firstColumn="1" w:lastColumn="0" w:noHBand="0" w:noVBand="1"/>
      </w:tblPr>
      <w:tblGrid>
        <w:gridCol w:w="2856"/>
        <w:gridCol w:w="2816"/>
        <w:gridCol w:w="2796"/>
      </w:tblGrid>
      <w:tr w:rsidR="000E4B30" w:rsidRPr="00183F27" w:rsidTr="00F34562">
        <w:trPr>
          <w:jc w:val="center"/>
        </w:trPr>
        <w:tc>
          <w:tcPr>
            <w:tcW w:w="8468" w:type="dxa"/>
            <w:gridSpan w:val="3"/>
            <w:shd w:val="clear" w:color="auto" w:fill="D9D9D9" w:themeFill="background1" w:themeFillShade="D9"/>
          </w:tcPr>
          <w:p w:rsidR="000E4B30" w:rsidRPr="00183F27" w:rsidRDefault="000E4B30" w:rsidP="00F34562">
            <w:pPr>
              <w:pStyle w:val="Prrafodelista"/>
              <w:ind w:left="0"/>
              <w:jc w:val="center"/>
              <w:rPr>
                <w:rFonts w:ascii="Arial" w:hAnsi="Arial" w:cs="Arial"/>
              </w:rPr>
            </w:pPr>
            <w:r w:rsidRPr="00183F27">
              <w:rPr>
                <w:rFonts w:ascii="Arial" w:hAnsi="Arial" w:cs="Arial"/>
                <w:b/>
              </w:rPr>
              <w:t>Presupuesto Asignado</w:t>
            </w:r>
          </w:p>
        </w:tc>
      </w:tr>
      <w:tr w:rsidR="000E4B30" w:rsidRPr="00183F27" w:rsidTr="00F34562">
        <w:trPr>
          <w:jc w:val="center"/>
        </w:trPr>
        <w:tc>
          <w:tcPr>
            <w:tcW w:w="2856"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sidRPr="00183F27">
              <w:rPr>
                <w:rFonts w:ascii="Arial" w:hAnsi="Arial" w:cs="Arial"/>
                <w:b/>
              </w:rPr>
              <w:t>Estatal</w:t>
            </w:r>
          </w:p>
        </w:tc>
        <w:tc>
          <w:tcPr>
            <w:tcW w:w="2816"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sidRPr="00183F27">
              <w:rPr>
                <w:rFonts w:ascii="Arial" w:hAnsi="Arial" w:cs="Arial"/>
                <w:b/>
              </w:rPr>
              <w:t>Federal</w:t>
            </w:r>
          </w:p>
        </w:tc>
        <w:tc>
          <w:tcPr>
            <w:tcW w:w="2796" w:type="dxa"/>
            <w:shd w:val="clear" w:color="auto" w:fill="D9D9D9" w:themeFill="background1" w:themeFillShade="D9"/>
          </w:tcPr>
          <w:p w:rsidR="000E4B30" w:rsidRPr="00183F27" w:rsidRDefault="000E4B30" w:rsidP="00F34562">
            <w:pPr>
              <w:pStyle w:val="Prrafodelista"/>
              <w:ind w:left="0"/>
              <w:rPr>
                <w:rFonts w:ascii="Arial" w:hAnsi="Arial" w:cs="Arial"/>
                <w:b/>
              </w:rPr>
            </w:pPr>
            <w:r w:rsidRPr="00183F27">
              <w:rPr>
                <w:rFonts w:ascii="Arial" w:hAnsi="Arial" w:cs="Arial"/>
                <w:b/>
              </w:rPr>
              <w:t>Total</w:t>
            </w:r>
          </w:p>
        </w:tc>
      </w:tr>
      <w:tr w:rsidR="000E4B30" w:rsidRPr="00183F27" w:rsidTr="00F34562">
        <w:trPr>
          <w:jc w:val="center"/>
        </w:trPr>
        <w:tc>
          <w:tcPr>
            <w:tcW w:w="2856" w:type="dxa"/>
          </w:tcPr>
          <w:p w:rsidR="000E4B30" w:rsidRPr="00183F27" w:rsidRDefault="000E4B30" w:rsidP="00F34562">
            <w:pPr>
              <w:pStyle w:val="Prrafodelista"/>
              <w:ind w:left="0"/>
              <w:jc w:val="center"/>
              <w:rPr>
                <w:rFonts w:ascii="Arial" w:hAnsi="Arial" w:cs="Arial"/>
              </w:rPr>
            </w:pPr>
            <w:r>
              <w:rPr>
                <w:rFonts w:ascii="Arial" w:hAnsi="Arial" w:cs="Arial"/>
              </w:rPr>
              <w:t>$48,674,730.00</w:t>
            </w:r>
          </w:p>
        </w:tc>
        <w:tc>
          <w:tcPr>
            <w:tcW w:w="2816" w:type="dxa"/>
          </w:tcPr>
          <w:p w:rsidR="000E4B30" w:rsidRPr="00183F27" w:rsidRDefault="000E4B30" w:rsidP="00F34562">
            <w:pPr>
              <w:pStyle w:val="Prrafodelista"/>
              <w:ind w:left="0"/>
              <w:jc w:val="center"/>
              <w:rPr>
                <w:rFonts w:ascii="Arial" w:hAnsi="Arial" w:cs="Arial"/>
              </w:rPr>
            </w:pPr>
            <w:r w:rsidRPr="00183F27">
              <w:rPr>
                <w:rFonts w:ascii="Arial" w:hAnsi="Arial" w:cs="Arial"/>
              </w:rPr>
              <w:t>$</w:t>
            </w:r>
            <w:r>
              <w:rPr>
                <w:rFonts w:ascii="Arial" w:hAnsi="Arial" w:cs="Arial"/>
              </w:rPr>
              <w:t>45,463,715.00</w:t>
            </w:r>
          </w:p>
        </w:tc>
        <w:tc>
          <w:tcPr>
            <w:tcW w:w="2796" w:type="dxa"/>
          </w:tcPr>
          <w:p w:rsidR="000E4B30" w:rsidRPr="00183F27" w:rsidRDefault="000E4B30" w:rsidP="00F34562">
            <w:pPr>
              <w:pStyle w:val="Prrafodelista"/>
              <w:ind w:left="0"/>
              <w:jc w:val="center"/>
              <w:rPr>
                <w:rFonts w:ascii="Arial" w:hAnsi="Arial" w:cs="Arial"/>
              </w:rPr>
            </w:pPr>
            <w:r>
              <w:rPr>
                <w:rFonts w:ascii="Arial" w:hAnsi="Arial" w:cs="Arial"/>
              </w:rPr>
              <w:t>$94,138,445.00</w:t>
            </w:r>
          </w:p>
        </w:tc>
      </w:tr>
    </w:tbl>
    <w:p w:rsidR="000E4B30" w:rsidRPr="00183F27" w:rsidRDefault="000E4B30" w:rsidP="000E4B30">
      <w:pPr>
        <w:jc w:val="both"/>
        <w:rPr>
          <w:rFonts w:ascii="Arial" w:hAnsi="Arial" w:cs="Arial"/>
        </w:rPr>
      </w:pPr>
    </w:p>
    <w:p w:rsidR="000E4B30" w:rsidRPr="00304A40" w:rsidRDefault="000E4B30" w:rsidP="000E4B30">
      <w:pPr>
        <w:pStyle w:val="Prrafodelista"/>
        <w:ind w:left="360"/>
        <w:jc w:val="both"/>
        <w:rPr>
          <w:rFonts w:ascii="Arial" w:hAnsi="Arial" w:cs="Arial"/>
        </w:rPr>
      </w:pPr>
      <w:r>
        <w:rPr>
          <w:rFonts w:ascii="Arial" w:hAnsi="Arial" w:cs="Arial"/>
        </w:rPr>
        <w:t xml:space="preserve">Considerando que conforme al Anexo de Ejecución para </w:t>
      </w:r>
      <w:r w:rsidRPr="00304A40">
        <w:rPr>
          <w:rFonts w:ascii="Arial" w:hAnsi="Arial" w:cs="Arial"/>
        </w:rPr>
        <w:t>el ejercicio 202</w:t>
      </w:r>
      <w:r>
        <w:rPr>
          <w:rFonts w:ascii="Arial" w:hAnsi="Arial" w:cs="Arial"/>
        </w:rPr>
        <w:t>5,</w:t>
      </w:r>
      <w:r w:rsidRPr="00304A40">
        <w:rPr>
          <w:rFonts w:ascii="Arial" w:hAnsi="Arial" w:cs="Arial"/>
        </w:rPr>
        <w:t xml:space="preserve"> </w:t>
      </w:r>
      <w:r>
        <w:rPr>
          <w:rFonts w:ascii="Arial" w:hAnsi="Arial" w:cs="Arial"/>
        </w:rPr>
        <w:t>el Gobierno del Estado</w:t>
      </w:r>
      <w:r w:rsidRPr="00304A40">
        <w:rPr>
          <w:rFonts w:ascii="Arial" w:hAnsi="Arial" w:cs="Arial"/>
        </w:rPr>
        <w:t xml:space="preserve"> entregará una cantidad mayor y se estima recaudar </w:t>
      </w:r>
      <w:r>
        <w:rPr>
          <w:rFonts w:ascii="Arial" w:hAnsi="Arial" w:cs="Arial"/>
        </w:rPr>
        <w:t xml:space="preserve">$3,946,060.00 </w:t>
      </w:r>
      <w:r w:rsidRPr="00304A40">
        <w:rPr>
          <w:rFonts w:ascii="Arial" w:hAnsi="Arial" w:cs="Arial"/>
        </w:rPr>
        <w:t>por concepto de Venta de Bienes y Servicios, quedando como sigue:</w:t>
      </w:r>
    </w:p>
    <w:p w:rsidR="000E4B30" w:rsidRDefault="000E4B30" w:rsidP="000E4B30">
      <w:pPr>
        <w:pStyle w:val="Prrafodelista"/>
        <w:ind w:left="360"/>
        <w:jc w:val="both"/>
        <w:rPr>
          <w:rFonts w:ascii="Arial" w:hAnsi="Arial" w:cs="Arial"/>
        </w:rPr>
      </w:pPr>
    </w:p>
    <w:tbl>
      <w:tblPr>
        <w:tblStyle w:val="Tablaconcuadrcula"/>
        <w:tblW w:w="0" w:type="auto"/>
        <w:jc w:val="center"/>
        <w:tblLook w:val="04A0" w:firstRow="1" w:lastRow="0" w:firstColumn="1" w:lastColumn="0" w:noHBand="0" w:noVBand="1"/>
      </w:tblPr>
      <w:tblGrid>
        <w:gridCol w:w="2225"/>
        <w:gridCol w:w="2211"/>
        <w:gridCol w:w="2161"/>
        <w:gridCol w:w="1871"/>
      </w:tblGrid>
      <w:tr w:rsidR="000E4B30" w:rsidRPr="00183F27" w:rsidTr="00F34562">
        <w:trPr>
          <w:jc w:val="center"/>
        </w:trPr>
        <w:tc>
          <w:tcPr>
            <w:tcW w:w="8468" w:type="dxa"/>
            <w:gridSpan w:val="4"/>
            <w:shd w:val="clear" w:color="auto" w:fill="D9D9D9" w:themeFill="background1" w:themeFillShade="D9"/>
          </w:tcPr>
          <w:p w:rsidR="000E4B30" w:rsidRPr="00183F27" w:rsidRDefault="000E4B30" w:rsidP="00F34562">
            <w:pPr>
              <w:pStyle w:val="Prrafodelista"/>
              <w:ind w:left="0"/>
              <w:jc w:val="center"/>
              <w:rPr>
                <w:rFonts w:ascii="Arial" w:hAnsi="Arial" w:cs="Arial"/>
                <w:b/>
              </w:rPr>
            </w:pPr>
            <w:r>
              <w:rPr>
                <w:rFonts w:ascii="Arial" w:hAnsi="Arial" w:cs="Arial"/>
                <w:b/>
              </w:rPr>
              <w:t>Presupuesto Total</w:t>
            </w:r>
          </w:p>
        </w:tc>
      </w:tr>
      <w:tr w:rsidR="000E4B30" w:rsidRPr="00183F27" w:rsidTr="00F34562">
        <w:trPr>
          <w:jc w:val="center"/>
        </w:trPr>
        <w:tc>
          <w:tcPr>
            <w:tcW w:w="2225"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sidRPr="00183F27">
              <w:rPr>
                <w:rFonts w:ascii="Arial" w:hAnsi="Arial" w:cs="Arial"/>
                <w:b/>
              </w:rPr>
              <w:t>Estatal</w:t>
            </w:r>
          </w:p>
        </w:tc>
        <w:tc>
          <w:tcPr>
            <w:tcW w:w="2211"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sidRPr="00183F27">
              <w:rPr>
                <w:rFonts w:ascii="Arial" w:hAnsi="Arial" w:cs="Arial"/>
                <w:b/>
              </w:rPr>
              <w:t>Federal</w:t>
            </w:r>
          </w:p>
        </w:tc>
        <w:tc>
          <w:tcPr>
            <w:tcW w:w="2161"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Pr>
                <w:rFonts w:ascii="Arial" w:hAnsi="Arial" w:cs="Arial"/>
                <w:b/>
              </w:rPr>
              <w:t>VBS</w:t>
            </w:r>
          </w:p>
        </w:tc>
        <w:tc>
          <w:tcPr>
            <w:tcW w:w="1871" w:type="dxa"/>
            <w:shd w:val="clear" w:color="auto" w:fill="D9D9D9" w:themeFill="background1" w:themeFillShade="D9"/>
          </w:tcPr>
          <w:p w:rsidR="000E4B30" w:rsidRPr="00183F27" w:rsidRDefault="000E4B30" w:rsidP="00F34562">
            <w:pPr>
              <w:pStyle w:val="Prrafodelista"/>
              <w:ind w:left="0"/>
              <w:jc w:val="center"/>
              <w:rPr>
                <w:rFonts w:ascii="Arial" w:hAnsi="Arial" w:cs="Arial"/>
                <w:b/>
              </w:rPr>
            </w:pPr>
            <w:r w:rsidRPr="00183F27">
              <w:rPr>
                <w:rFonts w:ascii="Arial" w:hAnsi="Arial" w:cs="Arial"/>
                <w:b/>
              </w:rPr>
              <w:t>Total</w:t>
            </w:r>
          </w:p>
        </w:tc>
      </w:tr>
      <w:tr w:rsidR="000E4B30" w:rsidRPr="00183F27" w:rsidTr="00F34562">
        <w:trPr>
          <w:jc w:val="center"/>
        </w:trPr>
        <w:tc>
          <w:tcPr>
            <w:tcW w:w="2225" w:type="dxa"/>
          </w:tcPr>
          <w:p w:rsidR="000E4B30" w:rsidRPr="00183F27" w:rsidRDefault="000E4B30" w:rsidP="00F34562">
            <w:pPr>
              <w:pStyle w:val="Prrafodelista"/>
              <w:ind w:left="0"/>
              <w:jc w:val="center"/>
              <w:rPr>
                <w:rFonts w:ascii="Arial" w:hAnsi="Arial" w:cs="Arial"/>
              </w:rPr>
            </w:pPr>
            <w:r>
              <w:rPr>
                <w:rFonts w:ascii="Arial" w:hAnsi="Arial" w:cs="Arial"/>
              </w:rPr>
              <w:t>$48,674,730.00</w:t>
            </w:r>
          </w:p>
        </w:tc>
        <w:tc>
          <w:tcPr>
            <w:tcW w:w="2211" w:type="dxa"/>
          </w:tcPr>
          <w:p w:rsidR="000E4B30" w:rsidRPr="00183F27" w:rsidRDefault="000E4B30" w:rsidP="00F34562">
            <w:pPr>
              <w:pStyle w:val="Prrafodelista"/>
              <w:ind w:left="0"/>
              <w:jc w:val="center"/>
              <w:rPr>
                <w:rFonts w:ascii="Arial" w:hAnsi="Arial" w:cs="Arial"/>
              </w:rPr>
            </w:pPr>
            <w:r w:rsidRPr="00183F27">
              <w:rPr>
                <w:rFonts w:ascii="Arial" w:hAnsi="Arial" w:cs="Arial"/>
              </w:rPr>
              <w:t>$</w:t>
            </w:r>
            <w:r>
              <w:rPr>
                <w:rFonts w:ascii="Arial" w:hAnsi="Arial" w:cs="Arial"/>
              </w:rPr>
              <w:t>45,463,715.00</w:t>
            </w:r>
          </w:p>
        </w:tc>
        <w:tc>
          <w:tcPr>
            <w:tcW w:w="2161" w:type="dxa"/>
          </w:tcPr>
          <w:p w:rsidR="000E4B30" w:rsidRPr="00183F27" w:rsidRDefault="000E4B30" w:rsidP="00F34562">
            <w:pPr>
              <w:pStyle w:val="Prrafodelista"/>
              <w:ind w:left="0"/>
              <w:jc w:val="center"/>
              <w:rPr>
                <w:rFonts w:ascii="Arial" w:hAnsi="Arial" w:cs="Arial"/>
              </w:rPr>
            </w:pPr>
            <w:r>
              <w:rPr>
                <w:rFonts w:ascii="Arial" w:hAnsi="Arial" w:cs="Arial"/>
              </w:rPr>
              <w:t>$</w:t>
            </w:r>
            <w:r w:rsidRPr="00304A40">
              <w:rPr>
                <w:rFonts w:ascii="Arial" w:hAnsi="Arial" w:cs="Arial"/>
              </w:rPr>
              <w:t>3,</w:t>
            </w:r>
            <w:r>
              <w:rPr>
                <w:rFonts w:ascii="Arial" w:hAnsi="Arial" w:cs="Arial"/>
              </w:rPr>
              <w:t>946,060</w:t>
            </w:r>
            <w:r w:rsidRPr="00304A40">
              <w:rPr>
                <w:rFonts w:ascii="Arial" w:hAnsi="Arial" w:cs="Arial"/>
              </w:rPr>
              <w:t>.</w:t>
            </w:r>
            <w:r>
              <w:rPr>
                <w:rFonts w:ascii="Arial" w:hAnsi="Arial" w:cs="Arial"/>
              </w:rPr>
              <w:t>00</w:t>
            </w:r>
          </w:p>
        </w:tc>
        <w:tc>
          <w:tcPr>
            <w:tcW w:w="1871" w:type="dxa"/>
          </w:tcPr>
          <w:p w:rsidR="000E4B30" w:rsidRDefault="000E4B30" w:rsidP="00F34562">
            <w:pPr>
              <w:pStyle w:val="Prrafodelista"/>
              <w:ind w:left="0"/>
              <w:jc w:val="center"/>
              <w:rPr>
                <w:rFonts w:ascii="Arial" w:hAnsi="Arial" w:cs="Arial"/>
              </w:rPr>
            </w:pPr>
            <w:r>
              <w:rPr>
                <w:rFonts w:ascii="Arial" w:hAnsi="Arial" w:cs="Arial"/>
              </w:rPr>
              <w:t>$98</w:t>
            </w:r>
            <w:r w:rsidRPr="00183F27">
              <w:rPr>
                <w:rFonts w:ascii="Arial" w:hAnsi="Arial" w:cs="Arial"/>
              </w:rPr>
              <w:t>’</w:t>
            </w:r>
            <w:r>
              <w:rPr>
                <w:rFonts w:ascii="Arial" w:hAnsi="Arial" w:cs="Arial"/>
              </w:rPr>
              <w:t>084</w:t>
            </w:r>
            <w:r w:rsidRPr="00183F27">
              <w:rPr>
                <w:rFonts w:ascii="Arial" w:hAnsi="Arial" w:cs="Arial"/>
              </w:rPr>
              <w:t>,</w:t>
            </w:r>
            <w:r>
              <w:rPr>
                <w:rFonts w:ascii="Arial" w:hAnsi="Arial" w:cs="Arial"/>
              </w:rPr>
              <w:t>505.00</w:t>
            </w:r>
          </w:p>
        </w:tc>
      </w:tr>
    </w:tbl>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p>
    <w:p w:rsidR="000E4B30" w:rsidRDefault="000E4B30" w:rsidP="000E4B30">
      <w:pPr>
        <w:pStyle w:val="Prrafodelista"/>
        <w:ind w:left="360"/>
        <w:jc w:val="both"/>
        <w:rPr>
          <w:rFonts w:ascii="Arial" w:hAnsi="Arial" w:cs="Arial"/>
        </w:rPr>
      </w:pPr>
      <w:r>
        <w:rPr>
          <w:rFonts w:ascii="Arial" w:hAnsi="Arial" w:cs="Arial"/>
        </w:rPr>
        <w:t xml:space="preserve">Con fecha 20 de marzo de 2025, se llevó a cabo la Trigésima Quinta Sesión Extraordinaria de Junta Directiva, en la cual se aprobó el Programa Operativo Anual y partidas presupuestales para la ejecución de recursos del presente ejercicio fiscal considerando los techos presupuestales firmados en el Anexo de Ejecución para el 2025, una vez autorizado, se inició con el registro de partidas y con el proceso de registro contable. </w:t>
      </w:r>
    </w:p>
    <w:p w:rsidR="000E4B30" w:rsidRDefault="000E4B30" w:rsidP="000E4B30">
      <w:pPr>
        <w:pStyle w:val="Prrafodelista"/>
        <w:ind w:left="360"/>
        <w:jc w:val="both"/>
        <w:rPr>
          <w:rFonts w:ascii="Arial" w:hAnsi="Arial" w:cs="Arial"/>
        </w:rPr>
      </w:pPr>
    </w:p>
    <w:p w:rsidR="000E4B30" w:rsidRPr="00427010" w:rsidRDefault="000E4B30" w:rsidP="000E4B30">
      <w:pPr>
        <w:pStyle w:val="Prrafodelista"/>
        <w:numPr>
          <w:ilvl w:val="6"/>
          <w:numId w:val="1"/>
        </w:numPr>
        <w:spacing w:after="200" w:line="276" w:lineRule="auto"/>
        <w:ind w:left="567" w:hanging="141"/>
        <w:jc w:val="both"/>
        <w:rPr>
          <w:rFonts w:ascii="Arial" w:hAnsi="Arial" w:cs="Arial"/>
          <w:b/>
        </w:rPr>
      </w:pPr>
      <w:r w:rsidRPr="00427010">
        <w:rPr>
          <w:rFonts w:ascii="Arial" w:hAnsi="Arial" w:cs="Arial"/>
          <w:b/>
        </w:rPr>
        <w:t>Autorización e Historia</w:t>
      </w:r>
    </w:p>
    <w:p w:rsidR="000E4B30" w:rsidRDefault="000E4B30" w:rsidP="000E4B30">
      <w:pPr>
        <w:pStyle w:val="Prrafodelista"/>
        <w:spacing w:after="200"/>
        <w:jc w:val="both"/>
        <w:rPr>
          <w:rFonts w:ascii="Arial" w:hAnsi="Arial" w:cs="Arial"/>
          <w:b/>
        </w:rPr>
      </w:pPr>
    </w:p>
    <w:p w:rsidR="000E4B30" w:rsidRPr="00183F27" w:rsidRDefault="000E4B30" w:rsidP="000E4B30">
      <w:pPr>
        <w:pStyle w:val="Prrafodelista"/>
        <w:numPr>
          <w:ilvl w:val="1"/>
          <w:numId w:val="6"/>
        </w:numPr>
        <w:spacing w:after="200"/>
        <w:jc w:val="both"/>
        <w:rPr>
          <w:rFonts w:ascii="Arial" w:hAnsi="Arial" w:cs="Arial"/>
          <w:b/>
        </w:rPr>
      </w:pPr>
      <w:r w:rsidRPr="00183F27">
        <w:rPr>
          <w:rFonts w:ascii="Arial" w:hAnsi="Arial" w:cs="Arial"/>
          <w:b/>
        </w:rPr>
        <w:t xml:space="preserve">Fecha de creación. </w:t>
      </w:r>
    </w:p>
    <w:p w:rsidR="000E4B30" w:rsidRDefault="000E4B30" w:rsidP="000E4B30">
      <w:pPr>
        <w:pStyle w:val="Prrafodelista"/>
        <w:ind w:left="708"/>
        <w:jc w:val="both"/>
        <w:rPr>
          <w:rFonts w:ascii="Arial" w:hAnsi="Arial" w:cs="Arial"/>
        </w:rPr>
      </w:pPr>
      <w:r w:rsidRPr="00183F27">
        <w:rPr>
          <w:rFonts w:ascii="Arial" w:hAnsi="Arial" w:cs="Arial"/>
        </w:rPr>
        <w:t>Decreto de</w:t>
      </w:r>
      <w:r w:rsidRPr="00183F27">
        <w:rPr>
          <w:rFonts w:ascii="Arial" w:hAnsi="Arial" w:cs="Arial"/>
          <w:b/>
        </w:rPr>
        <w:t xml:space="preserve"> </w:t>
      </w:r>
      <w:r w:rsidRPr="00183F27">
        <w:rPr>
          <w:rFonts w:ascii="Arial" w:hAnsi="Arial" w:cs="Arial"/>
        </w:rPr>
        <w:t>Creación del 21 de diciembre de 2006 Periódico Oficial del Gobierno Constitucional de</w:t>
      </w:r>
      <w:r>
        <w:rPr>
          <w:rFonts w:ascii="Arial" w:hAnsi="Arial" w:cs="Arial"/>
        </w:rPr>
        <w:t>l Estado de Michoacán de Ocampo.</w:t>
      </w:r>
    </w:p>
    <w:p w:rsidR="000E4B30" w:rsidRDefault="000E4B30" w:rsidP="000E4B30">
      <w:pPr>
        <w:pStyle w:val="Prrafodelista"/>
        <w:jc w:val="both"/>
        <w:rPr>
          <w:rFonts w:ascii="Arial" w:hAnsi="Arial" w:cs="Arial"/>
        </w:rPr>
      </w:pPr>
    </w:p>
    <w:p w:rsidR="000E4B30" w:rsidRPr="00183F27" w:rsidRDefault="000E4B30" w:rsidP="000E4B30">
      <w:pPr>
        <w:pStyle w:val="Prrafodelista"/>
        <w:numPr>
          <w:ilvl w:val="1"/>
          <w:numId w:val="6"/>
        </w:numPr>
        <w:spacing w:after="200"/>
        <w:jc w:val="both"/>
        <w:rPr>
          <w:rFonts w:ascii="Arial" w:hAnsi="Arial" w:cs="Arial"/>
          <w:b/>
        </w:rPr>
      </w:pPr>
      <w:r w:rsidRPr="00183F27">
        <w:rPr>
          <w:rFonts w:ascii="Arial" w:hAnsi="Arial" w:cs="Arial"/>
          <w:b/>
        </w:rPr>
        <w:t>Principales cambios en su estructura.</w:t>
      </w:r>
    </w:p>
    <w:p w:rsidR="000E4B30" w:rsidRDefault="000E4B30" w:rsidP="000E4B30">
      <w:pPr>
        <w:pStyle w:val="Prrafodelista"/>
        <w:jc w:val="both"/>
        <w:rPr>
          <w:rFonts w:ascii="Arial" w:hAnsi="Arial" w:cs="Arial"/>
        </w:rPr>
      </w:pPr>
      <w:r w:rsidRPr="00183F27">
        <w:rPr>
          <w:rFonts w:ascii="Arial" w:hAnsi="Arial" w:cs="Arial"/>
        </w:rPr>
        <w:t xml:space="preserve">La Universidad inició actividades desde el 31 de agosto de 2006, con una matrícula inicial de 207 alumnos, inscritos en cuatro licenciaturas ofertadas: Ingeniería en Energía, Innovación Educativa, Genómica Alimentaria y Estudios Multiculturales. </w:t>
      </w:r>
    </w:p>
    <w:p w:rsidR="000E4B30" w:rsidRDefault="000E4B30" w:rsidP="000E4B30">
      <w:pPr>
        <w:pStyle w:val="Prrafodelista"/>
        <w:jc w:val="both"/>
        <w:rPr>
          <w:rFonts w:ascii="Arial" w:hAnsi="Arial" w:cs="Arial"/>
        </w:rPr>
      </w:pPr>
    </w:p>
    <w:p w:rsidR="000E4B30" w:rsidRDefault="000E4B30" w:rsidP="000E4B30">
      <w:pPr>
        <w:pStyle w:val="Prrafodelista"/>
        <w:jc w:val="both"/>
        <w:rPr>
          <w:rFonts w:ascii="Arial" w:hAnsi="Arial" w:cs="Arial"/>
        </w:rPr>
      </w:pPr>
      <w:r w:rsidRPr="00183F27">
        <w:rPr>
          <w:rFonts w:ascii="Arial" w:hAnsi="Arial" w:cs="Arial"/>
        </w:rPr>
        <w:t>El 15 de febrero del 2008, se reformaron diversas disposiciones del Decreto de Creación de la Universidad de La Ciénega del Estado de Michoacán de Ocampo, estableciendo e instrumentando un convenio de colaboración entre el Gobierno del Estado y la Federación para el apoyo y cooperación de programas y proyectos académicos de la Universidad.</w:t>
      </w:r>
    </w:p>
    <w:p w:rsidR="000E4B30" w:rsidRDefault="000E4B30" w:rsidP="000E4B30">
      <w:pPr>
        <w:pStyle w:val="Prrafodelista"/>
        <w:jc w:val="both"/>
        <w:rPr>
          <w:rFonts w:ascii="Arial" w:hAnsi="Arial" w:cs="Arial"/>
        </w:rPr>
      </w:pPr>
    </w:p>
    <w:p w:rsidR="000E4B30" w:rsidRDefault="000E4B30" w:rsidP="000E4B30">
      <w:pPr>
        <w:pStyle w:val="Prrafodelista"/>
        <w:jc w:val="both"/>
        <w:rPr>
          <w:rFonts w:ascii="Arial" w:hAnsi="Arial" w:cs="Arial"/>
        </w:rPr>
      </w:pPr>
      <w:r>
        <w:rPr>
          <w:rFonts w:ascii="Arial" w:hAnsi="Arial" w:cs="Arial"/>
        </w:rPr>
        <w:t>El 27 de marzo de 2020, se aprueba una nueva reforma al Decreto de Creación, donde se derogan algunas fracciones respecto a la integración de la H. Junta de Gobierno.</w:t>
      </w:r>
    </w:p>
    <w:p w:rsidR="000E4B30" w:rsidRDefault="000E4B30" w:rsidP="000E4B30">
      <w:pPr>
        <w:pStyle w:val="Prrafodelista"/>
        <w:jc w:val="both"/>
        <w:rPr>
          <w:rFonts w:ascii="Arial" w:hAnsi="Arial" w:cs="Arial"/>
        </w:rPr>
      </w:pPr>
    </w:p>
    <w:p w:rsidR="000E4B30" w:rsidRPr="00183F27" w:rsidRDefault="000E4B30" w:rsidP="000E4B30">
      <w:pPr>
        <w:pStyle w:val="Prrafodelista"/>
        <w:jc w:val="both"/>
        <w:rPr>
          <w:rFonts w:ascii="Arial" w:hAnsi="Arial" w:cs="Arial"/>
        </w:rPr>
      </w:pPr>
      <w:r w:rsidRPr="00183F27">
        <w:rPr>
          <w:rFonts w:ascii="Arial" w:hAnsi="Arial" w:cs="Arial"/>
        </w:rPr>
        <w:t xml:space="preserve">Actualmente, la Universidad de La Ciénega del Estado de Michoacán de Ocampo ofrece </w:t>
      </w:r>
      <w:r>
        <w:rPr>
          <w:rFonts w:ascii="Arial" w:hAnsi="Arial" w:cs="Arial"/>
        </w:rPr>
        <w:t>8</w:t>
      </w:r>
      <w:r w:rsidRPr="00183F27">
        <w:rPr>
          <w:rFonts w:ascii="Arial" w:hAnsi="Arial" w:cs="Arial"/>
        </w:rPr>
        <w:t xml:space="preserve"> </w:t>
      </w:r>
      <w:r>
        <w:rPr>
          <w:rFonts w:ascii="Arial" w:hAnsi="Arial" w:cs="Arial"/>
        </w:rPr>
        <w:t xml:space="preserve">trayectorias, de las cuales son 6 </w:t>
      </w:r>
      <w:r w:rsidRPr="00183F27">
        <w:rPr>
          <w:rFonts w:ascii="Arial" w:hAnsi="Arial" w:cs="Arial"/>
        </w:rPr>
        <w:t>licenciatura</w:t>
      </w:r>
      <w:r>
        <w:rPr>
          <w:rFonts w:ascii="Arial" w:hAnsi="Arial" w:cs="Arial"/>
        </w:rPr>
        <w:t>s</w:t>
      </w:r>
      <w:r w:rsidRPr="00183F27">
        <w:rPr>
          <w:rFonts w:ascii="Arial" w:hAnsi="Arial" w:cs="Arial"/>
        </w:rPr>
        <w:t xml:space="preserve">: Innovación Educativa, Estudios Multiculturales, </w:t>
      </w:r>
      <w:r>
        <w:rPr>
          <w:rFonts w:ascii="Arial" w:hAnsi="Arial" w:cs="Arial"/>
        </w:rPr>
        <w:t>Gestión y Administración Pública,</w:t>
      </w:r>
      <w:r w:rsidRPr="00183F27">
        <w:rPr>
          <w:rFonts w:ascii="Arial" w:hAnsi="Arial" w:cs="Arial"/>
        </w:rPr>
        <w:t xml:space="preserve"> Genómica Alimentaria, Gobernabilidad y Nueva Ciud</w:t>
      </w:r>
      <w:r>
        <w:rPr>
          <w:rFonts w:ascii="Arial" w:hAnsi="Arial" w:cs="Arial"/>
        </w:rPr>
        <w:t xml:space="preserve">adanía, Gestión Urbana y Rural (Gobernabilidad y Nueva Ciudadanía y Gestión Urbana y Rural actualmente no reciben matrícula) y 2 </w:t>
      </w:r>
      <w:r w:rsidRPr="00183F27">
        <w:rPr>
          <w:rFonts w:ascii="Arial" w:hAnsi="Arial" w:cs="Arial"/>
        </w:rPr>
        <w:t>Ingeniería</w:t>
      </w:r>
      <w:r>
        <w:rPr>
          <w:rFonts w:ascii="Arial" w:hAnsi="Arial" w:cs="Arial"/>
        </w:rPr>
        <w:t>s:</w:t>
      </w:r>
      <w:r w:rsidRPr="00183F27">
        <w:rPr>
          <w:rFonts w:ascii="Arial" w:hAnsi="Arial" w:cs="Arial"/>
        </w:rPr>
        <w:t xml:space="preserve"> Energía </w:t>
      </w:r>
      <w:r>
        <w:rPr>
          <w:rFonts w:ascii="Arial" w:hAnsi="Arial" w:cs="Arial"/>
        </w:rPr>
        <w:t xml:space="preserve">y Nanotecnología. </w:t>
      </w:r>
      <w:r w:rsidRPr="00183F27">
        <w:rPr>
          <w:rFonts w:ascii="Arial" w:hAnsi="Arial" w:cs="Arial"/>
        </w:rPr>
        <w:t xml:space="preserve">Se </w:t>
      </w:r>
      <w:r>
        <w:rPr>
          <w:rFonts w:ascii="Arial" w:hAnsi="Arial" w:cs="Arial"/>
        </w:rPr>
        <w:t>cuenta con 3 posgrados, Maestría en Gobierno y Políticas Públicas, M</w:t>
      </w:r>
      <w:r w:rsidRPr="00183F27">
        <w:rPr>
          <w:rFonts w:ascii="Arial" w:hAnsi="Arial" w:cs="Arial"/>
        </w:rPr>
        <w:t xml:space="preserve">aestría en </w:t>
      </w:r>
      <w:r>
        <w:rPr>
          <w:rFonts w:ascii="Arial" w:hAnsi="Arial" w:cs="Arial"/>
        </w:rPr>
        <w:t>Educación y Maestría en Biociencias, estas dos últimas con registros PNPC del SECIHTI.</w:t>
      </w:r>
    </w:p>
    <w:p w:rsidR="000E4B30" w:rsidRPr="00183F27" w:rsidRDefault="000E4B30" w:rsidP="000E4B30">
      <w:pPr>
        <w:pStyle w:val="Prrafodelista"/>
        <w:jc w:val="both"/>
        <w:rPr>
          <w:rFonts w:ascii="Arial" w:hAnsi="Arial" w:cs="Arial"/>
        </w:rPr>
      </w:pPr>
    </w:p>
    <w:p w:rsidR="000E4B30" w:rsidRDefault="000E4B30" w:rsidP="000E4B30">
      <w:pPr>
        <w:pStyle w:val="Prrafodelista"/>
        <w:jc w:val="both"/>
        <w:rPr>
          <w:rFonts w:ascii="Arial" w:hAnsi="Arial" w:cs="Arial"/>
        </w:rPr>
      </w:pPr>
      <w:r>
        <w:rPr>
          <w:rFonts w:ascii="Arial" w:hAnsi="Arial" w:cs="Arial"/>
        </w:rPr>
        <w:t>La Universidad de La Ciénega del Estado de Michoacán de Ocampo (UCEMICH)</w:t>
      </w:r>
      <w:r w:rsidRPr="00183F27">
        <w:rPr>
          <w:rFonts w:ascii="Arial" w:hAnsi="Arial" w:cs="Arial"/>
        </w:rPr>
        <w:t xml:space="preserve"> en los primeros años </w:t>
      </w:r>
      <w:r>
        <w:rPr>
          <w:rFonts w:ascii="Arial" w:hAnsi="Arial" w:cs="Arial"/>
        </w:rPr>
        <w:t>contaba con un D</w:t>
      </w:r>
      <w:r w:rsidRPr="00183F27">
        <w:rPr>
          <w:rFonts w:ascii="Arial" w:hAnsi="Arial" w:cs="Arial"/>
        </w:rPr>
        <w:t xml:space="preserve">epartamento Jurídico y con el </w:t>
      </w:r>
      <w:r>
        <w:rPr>
          <w:rFonts w:ascii="Arial" w:hAnsi="Arial" w:cs="Arial"/>
        </w:rPr>
        <w:t>D</w:t>
      </w:r>
      <w:r w:rsidRPr="00183F27">
        <w:rPr>
          <w:rFonts w:ascii="Arial" w:hAnsi="Arial" w:cs="Arial"/>
        </w:rPr>
        <w:t>epartamento de Contraloría Int</w:t>
      </w:r>
      <w:r>
        <w:rPr>
          <w:rFonts w:ascii="Arial" w:hAnsi="Arial" w:cs="Arial"/>
        </w:rPr>
        <w:t xml:space="preserve">erna, sin embargo, actualmente, no </w:t>
      </w:r>
      <w:r>
        <w:rPr>
          <w:rFonts w:ascii="Arial" w:hAnsi="Arial" w:cs="Arial"/>
        </w:rPr>
        <w:lastRenderedPageBreak/>
        <w:t>se encuentra en el organigrama debido que fue actualizado y por Decreto de Austeridad no es posible incrementar la estructura.</w:t>
      </w:r>
    </w:p>
    <w:p w:rsidR="000E4B30" w:rsidRPr="00F663BA" w:rsidRDefault="000E4B30" w:rsidP="000E4B30">
      <w:pPr>
        <w:pStyle w:val="Prrafodelista"/>
        <w:jc w:val="both"/>
        <w:rPr>
          <w:rFonts w:ascii="Arial" w:hAnsi="Arial" w:cs="Arial"/>
        </w:rPr>
      </w:pPr>
    </w:p>
    <w:p w:rsidR="000E4B30" w:rsidRPr="00BA69AC" w:rsidRDefault="000E4B30" w:rsidP="000E4B30">
      <w:pPr>
        <w:pStyle w:val="Prrafodelista"/>
        <w:numPr>
          <w:ilvl w:val="0"/>
          <w:numId w:val="4"/>
        </w:numPr>
        <w:spacing w:after="200"/>
        <w:jc w:val="both"/>
        <w:rPr>
          <w:rFonts w:ascii="Arial" w:hAnsi="Arial" w:cs="Arial"/>
          <w:b/>
        </w:rPr>
      </w:pPr>
      <w:r w:rsidRPr="00602AFE">
        <w:rPr>
          <w:rFonts w:ascii="Arial" w:hAnsi="Arial" w:cs="Arial"/>
          <w:b/>
        </w:rPr>
        <w:t>Panorama Económico y Financiero</w:t>
      </w:r>
      <w:r w:rsidRPr="00602AFE">
        <w:rPr>
          <w:rFonts w:ascii="Arial" w:eastAsia="MS Mincho" w:hAnsi="Arial" w:cs="Arial"/>
        </w:rPr>
        <w:t xml:space="preserve">  </w:t>
      </w:r>
    </w:p>
    <w:p w:rsidR="000E4B30" w:rsidRPr="00BA69AC" w:rsidRDefault="000E4B30" w:rsidP="000E4B30">
      <w:pPr>
        <w:pStyle w:val="Prrafodelista"/>
        <w:spacing w:after="200"/>
        <w:jc w:val="both"/>
        <w:rPr>
          <w:rFonts w:ascii="Arial" w:hAnsi="Arial" w:cs="Arial"/>
          <w:b/>
        </w:rPr>
      </w:pPr>
    </w:p>
    <w:p w:rsidR="000E4B30" w:rsidRDefault="000E4B30" w:rsidP="000E4B30">
      <w:pPr>
        <w:pStyle w:val="Prrafodelista"/>
        <w:numPr>
          <w:ilvl w:val="0"/>
          <w:numId w:val="7"/>
        </w:numPr>
        <w:spacing w:before="100" w:beforeAutospacing="1" w:after="100" w:afterAutospacing="1"/>
        <w:jc w:val="both"/>
        <w:rPr>
          <w:rFonts w:ascii="Arial" w:eastAsia="Times New Roman" w:hAnsi="Arial" w:cs="Arial"/>
          <w:color w:val="000000"/>
          <w:kern w:val="0"/>
          <w:lang w:eastAsia="es-MX"/>
          <w14:ligatures w14:val="none"/>
        </w:rPr>
      </w:pPr>
      <w:r w:rsidRPr="000A15A1">
        <w:rPr>
          <w:rFonts w:ascii="Arial" w:eastAsia="Times New Roman" w:hAnsi="Arial" w:cs="Arial"/>
          <w:color w:val="000000"/>
          <w:kern w:val="0"/>
          <w:lang w:eastAsia="es-MX"/>
          <w14:ligatures w14:val="none"/>
        </w:rPr>
        <w:t xml:space="preserve">Se </w:t>
      </w:r>
      <w:r>
        <w:rPr>
          <w:rFonts w:ascii="Arial" w:eastAsia="Times New Roman" w:hAnsi="Arial" w:cs="Arial"/>
          <w:color w:val="000000"/>
          <w:kern w:val="0"/>
          <w:lang w:eastAsia="es-MX"/>
          <w14:ligatures w14:val="none"/>
        </w:rPr>
        <w:t>recibieron recursos del SECIHTI, por la cantidad de $200,000.00, derivados de la aprobación de un proyecto al profesor e investigador Dr. Omar Ernesto Roque Bernal.</w:t>
      </w:r>
    </w:p>
    <w:p w:rsidR="000E4B30" w:rsidRDefault="000E4B30" w:rsidP="000E4B30">
      <w:pPr>
        <w:pStyle w:val="Prrafodelista"/>
        <w:numPr>
          <w:ilvl w:val="0"/>
          <w:numId w:val="7"/>
        </w:numPr>
        <w:spacing w:before="100" w:beforeAutospacing="1" w:after="100" w:afterAutospacing="1"/>
        <w:jc w:val="both"/>
        <w:rPr>
          <w:rFonts w:ascii="Arial" w:eastAsia="Times New Roman" w:hAnsi="Arial" w:cs="Arial"/>
          <w:color w:val="000000"/>
          <w:kern w:val="0"/>
          <w:lang w:eastAsia="es-MX"/>
          <w14:ligatures w14:val="none"/>
        </w:rPr>
      </w:pPr>
      <w:r w:rsidRPr="000A15A1">
        <w:rPr>
          <w:rFonts w:ascii="Arial" w:eastAsia="Times New Roman" w:hAnsi="Arial" w:cs="Arial"/>
          <w:color w:val="000000"/>
          <w:kern w:val="0"/>
          <w:lang w:eastAsia="es-MX"/>
          <w14:ligatures w14:val="none"/>
        </w:rPr>
        <w:t xml:space="preserve">Se </w:t>
      </w:r>
      <w:r>
        <w:rPr>
          <w:rFonts w:ascii="Arial" w:eastAsia="Times New Roman" w:hAnsi="Arial" w:cs="Arial"/>
          <w:color w:val="000000"/>
          <w:kern w:val="0"/>
          <w:lang w:eastAsia="es-MX"/>
          <w14:ligatures w14:val="none"/>
        </w:rPr>
        <w:t>firmó convenio de colaboración entre la Secretaría de Educación en el Estado y la Universidad de la Ciénega del Estado de Michoacán de Ocampo para la implementación de un programa de formación continua, y se recibieron recursos por la cantidad de $10,815,511.98, los cuales fueron depositados a la cuenta de la Secretaría de Finanzas aperturada para la UCEMICH, los cuales quedaron pendientes de recaudar.</w:t>
      </w:r>
    </w:p>
    <w:p w:rsidR="000E4B30" w:rsidRPr="00F663BA" w:rsidRDefault="000E4B30" w:rsidP="000E4B30">
      <w:pPr>
        <w:pStyle w:val="Prrafodelista"/>
        <w:spacing w:before="100" w:beforeAutospacing="1" w:after="200" w:afterAutospacing="1"/>
        <w:jc w:val="both"/>
        <w:rPr>
          <w:rFonts w:ascii="Arial" w:hAnsi="Arial" w:cs="Arial"/>
          <w:b/>
        </w:rPr>
      </w:pPr>
    </w:p>
    <w:p w:rsidR="000E4B30" w:rsidRPr="00F663BA" w:rsidRDefault="000E4B30" w:rsidP="000E4B30">
      <w:pPr>
        <w:pStyle w:val="Prrafodelista"/>
        <w:numPr>
          <w:ilvl w:val="0"/>
          <w:numId w:val="4"/>
        </w:numPr>
        <w:spacing w:before="100" w:beforeAutospacing="1" w:after="200" w:afterAutospacing="1"/>
        <w:jc w:val="both"/>
        <w:rPr>
          <w:rFonts w:ascii="Arial" w:hAnsi="Arial" w:cs="Arial"/>
          <w:b/>
        </w:rPr>
      </w:pPr>
      <w:r w:rsidRPr="00F663BA">
        <w:rPr>
          <w:rFonts w:ascii="Arial" w:hAnsi="Arial" w:cs="Arial"/>
          <w:b/>
        </w:rPr>
        <w:t>Organización y Objeto Social</w:t>
      </w:r>
    </w:p>
    <w:p w:rsidR="000E4B30" w:rsidRPr="00183F27" w:rsidRDefault="000E4B30" w:rsidP="000E4B30">
      <w:pPr>
        <w:pStyle w:val="Prrafodelista"/>
        <w:ind w:left="360"/>
        <w:jc w:val="both"/>
        <w:rPr>
          <w:rFonts w:ascii="Arial" w:hAnsi="Arial" w:cs="Arial"/>
          <w:b/>
        </w:rPr>
      </w:pPr>
    </w:p>
    <w:p w:rsidR="000E4B30" w:rsidRPr="00183F27" w:rsidRDefault="000E4B30" w:rsidP="000E4B30">
      <w:pPr>
        <w:pStyle w:val="Prrafodelista"/>
        <w:numPr>
          <w:ilvl w:val="1"/>
          <w:numId w:val="4"/>
        </w:numPr>
        <w:spacing w:after="200"/>
        <w:jc w:val="both"/>
        <w:rPr>
          <w:rFonts w:ascii="Arial" w:hAnsi="Arial" w:cs="Arial"/>
          <w:b/>
        </w:rPr>
      </w:pPr>
      <w:r w:rsidRPr="00183F27">
        <w:rPr>
          <w:rFonts w:ascii="Arial" w:hAnsi="Arial" w:cs="Arial"/>
          <w:b/>
        </w:rPr>
        <w:t>Objeto social.</w:t>
      </w:r>
    </w:p>
    <w:p w:rsidR="000E4B30" w:rsidRDefault="000E4B30" w:rsidP="000E4B30">
      <w:pPr>
        <w:pStyle w:val="Prrafodelista"/>
        <w:jc w:val="both"/>
        <w:rPr>
          <w:rFonts w:ascii="Arial" w:hAnsi="Arial" w:cs="Arial"/>
        </w:rPr>
      </w:pPr>
      <w:r w:rsidRPr="00183F27">
        <w:rPr>
          <w:rFonts w:ascii="Arial" w:hAnsi="Arial" w:cs="Arial"/>
        </w:rPr>
        <w:t>Constituir un paradigma para el siglo XXI, con lo que se incrementa la oferta educativa en nivel superior y por virtud de la alta demanda social, que oriente sus esfuerzos hacia los sectores desprotegidos y que incluya a los migrantes nacionales.</w:t>
      </w:r>
    </w:p>
    <w:p w:rsidR="000E4B30" w:rsidRDefault="000E4B30" w:rsidP="000E4B30">
      <w:pPr>
        <w:pStyle w:val="Prrafodelista"/>
        <w:jc w:val="both"/>
        <w:rPr>
          <w:rFonts w:ascii="Arial" w:hAnsi="Arial" w:cs="Arial"/>
        </w:rPr>
      </w:pPr>
    </w:p>
    <w:p w:rsidR="000E4B30" w:rsidRPr="00183F27" w:rsidRDefault="000E4B30" w:rsidP="000E4B30">
      <w:pPr>
        <w:pStyle w:val="Prrafodelista"/>
        <w:numPr>
          <w:ilvl w:val="1"/>
          <w:numId w:val="4"/>
        </w:numPr>
        <w:spacing w:after="200"/>
        <w:jc w:val="both"/>
        <w:rPr>
          <w:rFonts w:ascii="Arial" w:hAnsi="Arial" w:cs="Arial"/>
          <w:b/>
        </w:rPr>
      </w:pPr>
      <w:r w:rsidRPr="00183F27">
        <w:rPr>
          <w:rFonts w:ascii="Arial" w:hAnsi="Arial" w:cs="Arial"/>
          <w:b/>
        </w:rPr>
        <w:t>Principal actividad.</w:t>
      </w:r>
    </w:p>
    <w:p w:rsidR="000E4B30" w:rsidRDefault="000E4B30" w:rsidP="000E4B30">
      <w:pPr>
        <w:pStyle w:val="Prrafodelista"/>
        <w:jc w:val="both"/>
        <w:rPr>
          <w:rFonts w:ascii="Arial" w:hAnsi="Arial" w:cs="Arial"/>
        </w:rPr>
      </w:pPr>
      <w:r>
        <w:rPr>
          <w:rFonts w:ascii="Arial" w:hAnsi="Arial" w:cs="Arial"/>
        </w:rPr>
        <w:t>Brindar educación superior y de posgrado de vanguardia.</w:t>
      </w:r>
    </w:p>
    <w:p w:rsidR="000E4B30" w:rsidRDefault="000E4B30" w:rsidP="000E4B30">
      <w:pPr>
        <w:pStyle w:val="Prrafodelista"/>
        <w:jc w:val="both"/>
        <w:rPr>
          <w:rFonts w:ascii="Arial" w:hAnsi="Arial" w:cs="Arial"/>
        </w:rPr>
      </w:pPr>
    </w:p>
    <w:p w:rsidR="000E4B30" w:rsidRPr="00183F27" w:rsidRDefault="000E4B30" w:rsidP="000E4B30">
      <w:pPr>
        <w:pStyle w:val="Prrafodelista"/>
        <w:numPr>
          <w:ilvl w:val="1"/>
          <w:numId w:val="4"/>
        </w:numPr>
        <w:spacing w:after="200"/>
        <w:jc w:val="both"/>
        <w:rPr>
          <w:rFonts w:ascii="Arial" w:hAnsi="Arial" w:cs="Arial"/>
          <w:b/>
        </w:rPr>
      </w:pPr>
      <w:r w:rsidRPr="00183F27">
        <w:rPr>
          <w:rFonts w:ascii="Arial" w:hAnsi="Arial" w:cs="Arial"/>
          <w:b/>
        </w:rPr>
        <w:t>Ejercicio fiscal.</w:t>
      </w:r>
    </w:p>
    <w:p w:rsidR="000E4B30" w:rsidRDefault="000E4B30" w:rsidP="000E4B30">
      <w:pPr>
        <w:pStyle w:val="Prrafodelista"/>
        <w:jc w:val="both"/>
        <w:rPr>
          <w:rFonts w:ascii="Arial" w:hAnsi="Arial" w:cs="Arial"/>
        </w:rPr>
      </w:pPr>
      <w:r w:rsidRPr="00183F27">
        <w:rPr>
          <w:rFonts w:ascii="Arial" w:hAnsi="Arial" w:cs="Arial"/>
        </w:rPr>
        <w:t>Ejercicio regular de acuerdo al año de calendario del 1° de</w:t>
      </w:r>
      <w:r>
        <w:rPr>
          <w:rFonts w:ascii="Arial" w:hAnsi="Arial" w:cs="Arial"/>
        </w:rPr>
        <w:t xml:space="preserve"> enero al 31 de diciembre de 2025</w:t>
      </w:r>
      <w:r w:rsidRPr="00183F27">
        <w:rPr>
          <w:rFonts w:ascii="Arial" w:hAnsi="Arial" w:cs="Arial"/>
        </w:rPr>
        <w:t>.</w:t>
      </w:r>
    </w:p>
    <w:p w:rsidR="000E4B30" w:rsidRDefault="000E4B30" w:rsidP="000E4B30">
      <w:pPr>
        <w:pStyle w:val="Prrafodelista"/>
        <w:jc w:val="both"/>
        <w:rPr>
          <w:rFonts w:ascii="Arial" w:hAnsi="Arial" w:cs="Arial"/>
        </w:rPr>
      </w:pPr>
    </w:p>
    <w:p w:rsidR="000E4B30" w:rsidRPr="00183F27" w:rsidRDefault="000E4B30" w:rsidP="000E4B30">
      <w:pPr>
        <w:pStyle w:val="Prrafodelista"/>
        <w:numPr>
          <w:ilvl w:val="1"/>
          <w:numId w:val="4"/>
        </w:numPr>
        <w:spacing w:after="200"/>
        <w:jc w:val="both"/>
        <w:rPr>
          <w:rFonts w:ascii="Arial" w:hAnsi="Arial" w:cs="Arial"/>
          <w:b/>
        </w:rPr>
      </w:pPr>
      <w:r w:rsidRPr="00183F27">
        <w:rPr>
          <w:rFonts w:ascii="Arial" w:hAnsi="Arial" w:cs="Arial"/>
          <w:b/>
        </w:rPr>
        <w:t>Régimen jurídico.</w:t>
      </w:r>
    </w:p>
    <w:p w:rsidR="000E4B30" w:rsidRDefault="000E4B30" w:rsidP="000E4B30">
      <w:pPr>
        <w:pStyle w:val="Prrafodelista"/>
        <w:jc w:val="both"/>
        <w:rPr>
          <w:rFonts w:ascii="Arial" w:hAnsi="Arial" w:cs="Arial"/>
        </w:rPr>
      </w:pPr>
      <w:r w:rsidRPr="00183F27">
        <w:rPr>
          <w:rFonts w:ascii="Arial" w:hAnsi="Arial" w:cs="Arial"/>
        </w:rPr>
        <w:t>Organismo Público Descentralizado de la Administración Pública Estatal, con personalidad jurídica y patrimonio propios, sectorizada a la Secretaría de Educación.</w:t>
      </w:r>
    </w:p>
    <w:p w:rsidR="000E4B30" w:rsidRDefault="000E4B30" w:rsidP="000E4B30">
      <w:pPr>
        <w:pStyle w:val="Prrafodelista"/>
        <w:jc w:val="both"/>
        <w:rPr>
          <w:rFonts w:ascii="Arial" w:hAnsi="Arial" w:cs="Arial"/>
        </w:rPr>
      </w:pPr>
    </w:p>
    <w:p w:rsidR="000E4B30" w:rsidRDefault="000E4B30" w:rsidP="000E4B30">
      <w:pPr>
        <w:pStyle w:val="Prrafodelista"/>
        <w:numPr>
          <w:ilvl w:val="1"/>
          <w:numId w:val="4"/>
        </w:numPr>
        <w:spacing w:after="200"/>
        <w:jc w:val="both"/>
        <w:rPr>
          <w:rFonts w:ascii="Arial" w:hAnsi="Arial" w:cs="Arial"/>
          <w:b/>
        </w:rPr>
      </w:pPr>
      <w:r w:rsidRPr="00183F27">
        <w:rPr>
          <w:rFonts w:ascii="Arial" w:hAnsi="Arial" w:cs="Arial"/>
          <w:b/>
        </w:rPr>
        <w:t>Consideraciones fiscales del ente.</w:t>
      </w:r>
    </w:p>
    <w:p w:rsidR="000E4B30" w:rsidRDefault="000E4B30" w:rsidP="000E4B30">
      <w:pPr>
        <w:pStyle w:val="Prrafodelista"/>
        <w:jc w:val="both"/>
        <w:rPr>
          <w:rFonts w:ascii="Arial" w:hAnsi="Arial" w:cs="Arial"/>
        </w:rPr>
      </w:pPr>
      <w:r w:rsidRPr="000A4F9A">
        <w:rPr>
          <w:rFonts w:ascii="Arial" w:hAnsi="Arial" w:cs="Arial"/>
        </w:rPr>
        <w:t>La Universidad de la Ciénega del Estado de Michoacán de Ocampo, se encuentra debidamente registrada ante el Servicio de Administración Tributaria, con el régimen de “Personal Moral con fines no Lucrativos”.</w:t>
      </w:r>
      <w:r>
        <w:rPr>
          <w:rFonts w:ascii="Arial" w:hAnsi="Arial" w:cs="Arial"/>
        </w:rPr>
        <w:t xml:space="preserve"> </w:t>
      </w:r>
      <w:r w:rsidRPr="000A4F9A">
        <w:rPr>
          <w:rFonts w:ascii="Arial" w:hAnsi="Arial" w:cs="Arial"/>
        </w:rPr>
        <w:t>Está obligado a la retención por sueldos y salarios, retención a prestadores de servicios profesionales, retención por servicios profesionales, 3% sobre nóminas, pago de cuotas obrero-patronales ante el IMSS, SAT e INFONAVIT.</w:t>
      </w:r>
    </w:p>
    <w:p w:rsidR="000E4B30" w:rsidRPr="00224034" w:rsidRDefault="000E4B30" w:rsidP="000E4B30">
      <w:pPr>
        <w:pStyle w:val="Prrafodelista"/>
        <w:jc w:val="both"/>
        <w:rPr>
          <w:rFonts w:ascii="Arial" w:hAnsi="Arial" w:cs="Arial"/>
        </w:rPr>
      </w:pPr>
    </w:p>
    <w:p w:rsidR="000E4B30" w:rsidRPr="00183F27" w:rsidRDefault="000E4B30" w:rsidP="000E4B30">
      <w:pPr>
        <w:pStyle w:val="Prrafodelista"/>
        <w:numPr>
          <w:ilvl w:val="1"/>
          <w:numId w:val="4"/>
        </w:numPr>
        <w:spacing w:after="200"/>
        <w:jc w:val="both"/>
        <w:rPr>
          <w:rFonts w:ascii="Arial" w:hAnsi="Arial" w:cs="Arial"/>
          <w:b/>
        </w:rPr>
      </w:pPr>
      <w:r w:rsidRPr="00183F27">
        <w:rPr>
          <w:rFonts w:ascii="Arial" w:hAnsi="Arial" w:cs="Arial"/>
          <w:b/>
        </w:rPr>
        <w:t>Estructura organizacional básica.</w:t>
      </w:r>
    </w:p>
    <w:p w:rsidR="000E4B30" w:rsidRDefault="000E4B30" w:rsidP="000E4B30">
      <w:pPr>
        <w:pStyle w:val="Prrafodelista"/>
        <w:jc w:val="both"/>
        <w:rPr>
          <w:rFonts w:ascii="Arial" w:hAnsi="Arial" w:cs="Arial"/>
        </w:rPr>
      </w:pPr>
      <w:r w:rsidRPr="00183F27">
        <w:rPr>
          <w:rFonts w:ascii="Arial" w:hAnsi="Arial" w:cs="Arial"/>
        </w:rPr>
        <w:t>Junta Directiva</w:t>
      </w:r>
    </w:p>
    <w:p w:rsidR="000E4B30" w:rsidRPr="00183F27" w:rsidRDefault="000E4B30" w:rsidP="000E4B30">
      <w:pPr>
        <w:pStyle w:val="Prrafodelista"/>
        <w:jc w:val="both"/>
        <w:rPr>
          <w:rFonts w:ascii="Arial" w:hAnsi="Arial" w:cs="Arial"/>
        </w:rPr>
      </w:pPr>
      <w:r>
        <w:rPr>
          <w:rFonts w:ascii="Arial" w:hAnsi="Arial" w:cs="Arial"/>
        </w:rPr>
        <w:t>Consejo Consultivo y de Vinculación Social</w:t>
      </w:r>
    </w:p>
    <w:p w:rsidR="000E4B30" w:rsidRPr="00183F27" w:rsidRDefault="000E4B30" w:rsidP="000E4B30">
      <w:pPr>
        <w:pStyle w:val="Prrafodelista"/>
        <w:jc w:val="both"/>
        <w:rPr>
          <w:rFonts w:ascii="Arial" w:hAnsi="Arial" w:cs="Arial"/>
        </w:rPr>
      </w:pPr>
      <w:r>
        <w:rPr>
          <w:rFonts w:ascii="Arial" w:hAnsi="Arial" w:cs="Arial"/>
        </w:rPr>
        <w:t>Consejo Académico General, órgano colegiado interno.</w:t>
      </w:r>
      <w:r w:rsidRPr="00183F27">
        <w:rPr>
          <w:rFonts w:ascii="Arial" w:hAnsi="Arial" w:cs="Arial"/>
        </w:rPr>
        <w:t xml:space="preserve"> </w:t>
      </w:r>
    </w:p>
    <w:p w:rsidR="000E4B30" w:rsidRDefault="000E4B30" w:rsidP="000E4B30">
      <w:pPr>
        <w:pStyle w:val="Prrafodelista"/>
        <w:jc w:val="both"/>
        <w:rPr>
          <w:rFonts w:ascii="Arial" w:hAnsi="Arial" w:cs="Arial"/>
        </w:rPr>
      </w:pPr>
      <w:r w:rsidRPr="00183F27">
        <w:rPr>
          <w:rFonts w:ascii="Arial" w:hAnsi="Arial" w:cs="Arial"/>
        </w:rPr>
        <w:lastRenderedPageBreak/>
        <w:t>Rector</w:t>
      </w:r>
    </w:p>
    <w:p w:rsidR="000E4B30" w:rsidRPr="00183F27" w:rsidRDefault="000E4B30" w:rsidP="000E4B30">
      <w:pPr>
        <w:pStyle w:val="Prrafodelista"/>
        <w:jc w:val="both"/>
        <w:rPr>
          <w:rFonts w:ascii="Arial" w:hAnsi="Arial" w:cs="Arial"/>
        </w:rPr>
      </w:pPr>
      <w:r w:rsidRPr="00183F27">
        <w:rPr>
          <w:rFonts w:ascii="Arial" w:hAnsi="Arial" w:cs="Arial"/>
        </w:rPr>
        <w:t>Secretaría de Planeación</w:t>
      </w:r>
    </w:p>
    <w:p w:rsidR="000E4B30" w:rsidRPr="00183F27" w:rsidRDefault="000E4B30" w:rsidP="000E4B30">
      <w:pPr>
        <w:pStyle w:val="Prrafodelista"/>
        <w:jc w:val="both"/>
        <w:rPr>
          <w:rFonts w:ascii="Arial" w:hAnsi="Arial" w:cs="Arial"/>
        </w:rPr>
      </w:pPr>
      <w:r>
        <w:rPr>
          <w:rFonts w:ascii="Arial" w:hAnsi="Arial" w:cs="Arial"/>
        </w:rPr>
        <w:t>Jefatura de</w:t>
      </w:r>
      <w:r w:rsidRPr="00183F27">
        <w:rPr>
          <w:rFonts w:ascii="Arial" w:hAnsi="Arial" w:cs="Arial"/>
        </w:rPr>
        <w:t xml:space="preserve"> Servicios Escolares</w:t>
      </w:r>
    </w:p>
    <w:p w:rsidR="000E4B30" w:rsidRDefault="000E4B30" w:rsidP="000E4B30">
      <w:pPr>
        <w:pStyle w:val="Prrafodelista"/>
        <w:jc w:val="both"/>
        <w:rPr>
          <w:rFonts w:ascii="Arial" w:hAnsi="Arial" w:cs="Arial"/>
        </w:rPr>
      </w:pPr>
      <w:r>
        <w:rPr>
          <w:rFonts w:ascii="Arial" w:hAnsi="Arial" w:cs="Arial"/>
        </w:rPr>
        <w:t>Jefatura</w:t>
      </w:r>
      <w:r w:rsidRPr="00183F27">
        <w:rPr>
          <w:rFonts w:ascii="Arial" w:hAnsi="Arial" w:cs="Arial"/>
        </w:rPr>
        <w:t xml:space="preserve"> de Difusión y Vinculación</w:t>
      </w:r>
    </w:p>
    <w:p w:rsidR="000E4B30" w:rsidRPr="00183F27" w:rsidRDefault="000E4B30" w:rsidP="000E4B30">
      <w:pPr>
        <w:pStyle w:val="Prrafodelista"/>
        <w:jc w:val="both"/>
        <w:rPr>
          <w:rFonts w:ascii="Arial" w:hAnsi="Arial" w:cs="Arial"/>
        </w:rPr>
      </w:pPr>
      <w:r w:rsidRPr="00183F27">
        <w:rPr>
          <w:rFonts w:ascii="Arial" w:hAnsi="Arial" w:cs="Arial"/>
        </w:rPr>
        <w:t>Secretaría Académica</w:t>
      </w:r>
    </w:p>
    <w:p w:rsidR="000E4B30" w:rsidRPr="00183F27" w:rsidRDefault="000E4B30" w:rsidP="000E4B30">
      <w:pPr>
        <w:pStyle w:val="Prrafodelista"/>
        <w:jc w:val="both"/>
        <w:rPr>
          <w:rFonts w:ascii="Arial" w:hAnsi="Arial" w:cs="Arial"/>
        </w:rPr>
      </w:pPr>
      <w:r w:rsidRPr="00183F27">
        <w:rPr>
          <w:rFonts w:ascii="Arial" w:hAnsi="Arial" w:cs="Arial"/>
        </w:rPr>
        <w:t>Coordinación de Ingeniería en Energía</w:t>
      </w:r>
    </w:p>
    <w:p w:rsidR="000E4B30" w:rsidRPr="00183F27" w:rsidRDefault="000E4B30" w:rsidP="000E4B30">
      <w:pPr>
        <w:pStyle w:val="Prrafodelista"/>
        <w:jc w:val="both"/>
        <w:rPr>
          <w:rFonts w:ascii="Arial" w:hAnsi="Arial" w:cs="Arial"/>
        </w:rPr>
      </w:pPr>
      <w:r w:rsidRPr="00183F27">
        <w:rPr>
          <w:rFonts w:ascii="Arial" w:hAnsi="Arial" w:cs="Arial"/>
        </w:rPr>
        <w:t>Coordinación de Estudios Multiculturales</w:t>
      </w:r>
    </w:p>
    <w:p w:rsidR="000E4B30" w:rsidRPr="00183F27" w:rsidRDefault="000E4B30" w:rsidP="000E4B30">
      <w:pPr>
        <w:pStyle w:val="Prrafodelista"/>
        <w:jc w:val="both"/>
        <w:rPr>
          <w:rFonts w:ascii="Arial" w:hAnsi="Arial" w:cs="Arial"/>
        </w:rPr>
      </w:pPr>
      <w:r w:rsidRPr="00183F27">
        <w:rPr>
          <w:rFonts w:ascii="Arial" w:hAnsi="Arial" w:cs="Arial"/>
        </w:rPr>
        <w:t>Coordinación de Innovación Educativa</w:t>
      </w:r>
    </w:p>
    <w:p w:rsidR="000E4B30" w:rsidRDefault="000E4B30" w:rsidP="000E4B30">
      <w:pPr>
        <w:pStyle w:val="Prrafodelista"/>
        <w:jc w:val="both"/>
        <w:rPr>
          <w:rFonts w:ascii="Arial" w:hAnsi="Arial" w:cs="Arial"/>
        </w:rPr>
      </w:pPr>
      <w:r w:rsidRPr="00183F27">
        <w:rPr>
          <w:rFonts w:ascii="Arial" w:hAnsi="Arial" w:cs="Arial"/>
        </w:rPr>
        <w:t xml:space="preserve">Coordinación de </w:t>
      </w:r>
      <w:r>
        <w:rPr>
          <w:rFonts w:ascii="Arial" w:hAnsi="Arial" w:cs="Arial"/>
        </w:rPr>
        <w:t xml:space="preserve">Ingeniería en </w:t>
      </w:r>
      <w:r w:rsidRPr="00183F27">
        <w:rPr>
          <w:rFonts w:ascii="Arial" w:hAnsi="Arial" w:cs="Arial"/>
        </w:rPr>
        <w:t>Nanotecnología</w:t>
      </w:r>
    </w:p>
    <w:p w:rsidR="000E4B30" w:rsidRPr="00183F27" w:rsidRDefault="000E4B30" w:rsidP="000E4B30">
      <w:pPr>
        <w:pStyle w:val="Prrafodelista"/>
        <w:jc w:val="both"/>
        <w:rPr>
          <w:rFonts w:ascii="Arial" w:hAnsi="Arial" w:cs="Arial"/>
        </w:rPr>
      </w:pPr>
      <w:r w:rsidRPr="00183F27">
        <w:rPr>
          <w:rFonts w:ascii="Arial" w:hAnsi="Arial" w:cs="Arial"/>
        </w:rPr>
        <w:t>Coordinación de Genómica Alimentaria</w:t>
      </w:r>
    </w:p>
    <w:p w:rsidR="000E4B30" w:rsidRPr="00183F27" w:rsidRDefault="000E4B30" w:rsidP="000E4B30">
      <w:pPr>
        <w:pStyle w:val="Prrafodelista"/>
        <w:jc w:val="both"/>
        <w:rPr>
          <w:rFonts w:ascii="Arial" w:hAnsi="Arial" w:cs="Arial"/>
        </w:rPr>
      </w:pPr>
      <w:r w:rsidRPr="00183F27">
        <w:rPr>
          <w:rFonts w:ascii="Arial" w:hAnsi="Arial" w:cs="Arial"/>
        </w:rPr>
        <w:t xml:space="preserve">Coordinación de </w:t>
      </w:r>
      <w:r>
        <w:rPr>
          <w:rFonts w:ascii="Arial" w:hAnsi="Arial" w:cs="Arial"/>
        </w:rPr>
        <w:t>Estudios Políticos y Gestión Social</w:t>
      </w:r>
    </w:p>
    <w:p w:rsidR="000E4B30" w:rsidRPr="00183F27" w:rsidRDefault="000E4B30" w:rsidP="000E4B30">
      <w:pPr>
        <w:pStyle w:val="Prrafodelista"/>
        <w:jc w:val="both"/>
        <w:rPr>
          <w:rFonts w:ascii="Arial" w:hAnsi="Arial" w:cs="Arial"/>
        </w:rPr>
      </w:pPr>
      <w:r w:rsidRPr="00183F27">
        <w:rPr>
          <w:rFonts w:ascii="Arial" w:hAnsi="Arial" w:cs="Arial"/>
        </w:rPr>
        <w:t xml:space="preserve">Secretaría de Administración </w:t>
      </w:r>
    </w:p>
    <w:p w:rsidR="000E4B30" w:rsidRDefault="000E4B30" w:rsidP="000E4B30">
      <w:pPr>
        <w:pStyle w:val="Prrafodelista"/>
        <w:jc w:val="both"/>
        <w:rPr>
          <w:rFonts w:ascii="Arial" w:hAnsi="Arial" w:cs="Arial"/>
        </w:rPr>
      </w:pPr>
      <w:r>
        <w:rPr>
          <w:rFonts w:ascii="Arial" w:hAnsi="Arial" w:cs="Arial"/>
        </w:rPr>
        <w:t>Jefatura</w:t>
      </w:r>
      <w:r w:rsidRPr="00183F27">
        <w:rPr>
          <w:rFonts w:ascii="Arial" w:hAnsi="Arial" w:cs="Arial"/>
        </w:rPr>
        <w:t xml:space="preserve"> de Contabilidad y Finanzas</w:t>
      </w:r>
    </w:p>
    <w:p w:rsidR="000E4B30" w:rsidRDefault="000E4B30" w:rsidP="000E4B30">
      <w:pPr>
        <w:pStyle w:val="Prrafodelista"/>
        <w:jc w:val="both"/>
        <w:rPr>
          <w:rFonts w:ascii="Arial" w:hAnsi="Arial" w:cs="Arial"/>
        </w:rPr>
      </w:pPr>
    </w:p>
    <w:p w:rsidR="000E4B30" w:rsidRPr="00183F27" w:rsidRDefault="000E4B30" w:rsidP="000E4B30">
      <w:pPr>
        <w:pStyle w:val="Prrafodelista"/>
        <w:numPr>
          <w:ilvl w:val="1"/>
          <w:numId w:val="4"/>
        </w:numPr>
        <w:spacing w:after="200"/>
        <w:jc w:val="both"/>
        <w:rPr>
          <w:rFonts w:ascii="Arial" w:hAnsi="Arial" w:cs="Arial"/>
          <w:b/>
        </w:rPr>
      </w:pPr>
      <w:r w:rsidRPr="00183F27">
        <w:rPr>
          <w:rFonts w:ascii="Arial" w:hAnsi="Arial" w:cs="Arial"/>
          <w:b/>
        </w:rPr>
        <w:t>Fideicomisos, mandatos y análogos de los cuales es fideicomitente o fiduciario.</w:t>
      </w:r>
    </w:p>
    <w:p w:rsidR="000E4B30" w:rsidRDefault="000E4B30" w:rsidP="000E4B30">
      <w:pPr>
        <w:pStyle w:val="Prrafodelista"/>
        <w:jc w:val="both"/>
        <w:rPr>
          <w:rFonts w:ascii="Arial" w:hAnsi="Arial" w:cs="Arial"/>
        </w:rPr>
      </w:pPr>
      <w:r w:rsidRPr="00183F27">
        <w:rPr>
          <w:rFonts w:ascii="Arial" w:hAnsi="Arial" w:cs="Arial"/>
        </w:rPr>
        <w:t>A la fecha no tiene este tipo de compromisos.</w:t>
      </w:r>
    </w:p>
    <w:p w:rsidR="000E4B30" w:rsidRDefault="000E4B30" w:rsidP="000E4B30">
      <w:pPr>
        <w:pStyle w:val="Prrafodelista"/>
        <w:jc w:val="both"/>
        <w:rPr>
          <w:rFonts w:ascii="Arial" w:hAnsi="Arial" w:cs="Arial"/>
        </w:rPr>
      </w:pPr>
    </w:p>
    <w:p w:rsidR="000E4B30" w:rsidRDefault="000E4B30" w:rsidP="000E4B30">
      <w:pPr>
        <w:pStyle w:val="Prrafodelista"/>
        <w:numPr>
          <w:ilvl w:val="0"/>
          <w:numId w:val="4"/>
        </w:numPr>
        <w:spacing w:after="200"/>
        <w:jc w:val="both"/>
        <w:rPr>
          <w:rFonts w:ascii="Arial" w:hAnsi="Arial" w:cs="Arial"/>
          <w:b/>
        </w:rPr>
      </w:pPr>
      <w:r w:rsidRPr="00183F27">
        <w:rPr>
          <w:rFonts w:ascii="Arial" w:hAnsi="Arial" w:cs="Arial"/>
          <w:b/>
        </w:rPr>
        <w:t>Bases de Preparación de los Estados Financieros</w:t>
      </w:r>
    </w:p>
    <w:p w:rsidR="000E4B30" w:rsidRPr="00183F27" w:rsidRDefault="000E4B30" w:rsidP="000E4B30">
      <w:pPr>
        <w:pStyle w:val="Prrafodelista"/>
        <w:ind w:left="360"/>
        <w:jc w:val="both"/>
        <w:rPr>
          <w:rFonts w:ascii="Arial" w:hAnsi="Arial" w:cs="Arial"/>
          <w:b/>
        </w:rPr>
      </w:pPr>
    </w:p>
    <w:p w:rsidR="000E4B30" w:rsidRDefault="000E4B30" w:rsidP="000E4B30">
      <w:pPr>
        <w:pStyle w:val="Prrafodelista"/>
        <w:numPr>
          <w:ilvl w:val="1"/>
          <w:numId w:val="4"/>
        </w:numPr>
        <w:spacing w:after="200"/>
        <w:jc w:val="both"/>
        <w:rPr>
          <w:rFonts w:ascii="Arial" w:hAnsi="Arial" w:cs="Arial"/>
        </w:rPr>
      </w:pPr>
      <w:r w:rsidRPr="00183F27">
        <w:rPr>
          <w:rFonts w:ascii="Arial" w:hAnsi="Arial" w:cs="Arial"/>
        </w:rPr>
        <w:t xml:space="preserve">Los presentes Estados Financieros observa la normatividad </w:t>
      </w:r>
      <w:r>
        <w:rPr>
          <w:rFonts w:ascii="Arial" w:hAnsi="Arial" w:cs="Arial"/>
        </w:rPr>
        <w:t>emitida por la CONAC y demás normativa aplicable.</w:t>
      </w:r>
    </w:p>
    <w:p w:rsidR="000E4B30" w:rsidRDefault="000E4B30" w:rsidP="000E4B30">
      <w:pPr>
        <w:pStyle w:val="Prrafodelista"/>
        <w:numPr>
          <w:ilvl w:val="1"/>
          <w:numId w:val="4"/>
        </w:numPr>
        <w:spacing w:after="200"/>
        <w:jc w:val="both"/>
        <w:rPr>
          <w:rFonts w:ascii="Arial" w:hAnsi="Arial" w:cs="Arial"/>
        </w:rPr>
      </w:pPr>
      <w:r w:rsidRPr="00183F27">
        <w:rPr>
          <w:rFonts w:ascii="Arial" w:hAnsi="Arial" w:cs="Arial"/>
        </w:rPr>
        <w:t>Los registros contables se realizaron con base acumulativa para la integración de la información contable y presupuestaria. La contabilización de las transacciones de gasto se registra y reconocen conforme a la fecha de su realización, independientemente de la</w:t>
      </w:r>
      <w:r>
        <w:rPr>
          <w:rFonts w:ascii="Arial" w:hAnsi="Arial" w:cs="Arial"/>
        </w:rPr>
        <w:t xml:space="preserve"> fecha</w:t>
      </w:r>
      <w:r w:rsidRPr="00183F27">
        <w:rPr>
          <w:rFonts w:ascii="Arial" w:hAnsi="Arial" w:cs="Arial"/>
        </w:rPr>
        <w:t xml:space="preserve"> del pago.</w:t>
      </w:r>
    </w:p>
    <w:p w:rsidR="000E4B30" w:rsidRPr="002A7CB1" w:rsidRDefault="000E4B30" w:rsidP="000E4B30">
      <w:pPr>
        <w:pStyle w:val="Prrafodelista"/>
        <w:numPr>
          <w:ilvl w:val="1"/>
          <w:numId w:val="4"/>
        </w:numPr>
        <w:spacing w:after="200"/>
        <w:jc w:val="both"/>
        <w:rPr>
          <w:rFonts w:ascii="Arial" w:hAnsi="Arial" w:cs="Arial"/>
        </w:rPr>
      </w:pPr>
      <w:r w:rsidRPr="002A7CB1">
        <w:rPr>
          <w:rFonts w:ascii="Arial" w:hAnsi="Arial" w:cs="Arial"/>
        </w:rPr>
        <w:t xml:space="preserve">La valuación del patrimonio está de acuerdo a su Valor Histórico Original; es decir, a valor de adquisición. </w:t>
      </w:r>
    </w:p>
    <w:p w:rsidR="000E4B30" w:rsidRPr="00183F27" w:rsidRDefault="000E4B30" w:rsidP="000E4B30">
      <w:pPr>
        <w:pStyle w:val="Prrafodelista"/>
        <w:numPr>
          <w:ilvl w:val="1"/>
          <w:numId w:val="4"/>
        </w:numPr>
        <w:spacing w:after="200"/>
        <w:jc w:val="both"/>
        <w:rPr>
          <w:rFonts w:ascii="Arial" w:hAnsi="Arial" w:cs="Arial"/>
        </w:rPr>
      </w:pPr>
      <w:r w:rsidRPr="00183F27">
        <w:rPr>
          <w:rFonts w:ascii="Arial" w:hAnsi="Arial" w:cs="Arial"/>
        </w:rPr>
        <w:t>Postulados básicos. Se aplicaron los criterios de contabilización de acuerdo a estos postulados.</w:t>
      </w:r>
    </w:p>
    <w:p w:rsidR="000E4B30" w:rsidRPr="00183F27" w:rsidRDefault="000E4B30" w:rsidP="000E4B30">
      <w:pPr>
        <w:pStyle w:val="Prrafodelista"/>
        <w:numPr>
          <w:ilvl w:val="1"/>
          <w:numId w:val="4"/>
        </w:numPr>
        <w:spacing w:after="200"/>
        <w:jc w:val="both"/>
        <w:rPr>
          <w:rFonts w:ascii="Arial" w:hAnsi="Arial" w:cs="Arial"/>
        </w:rPr>
      </w:pPr>
      <w:r w:rsidRPr="00183F27">
        <w:rPr>
          <w:rFonts w:ascii="Arial" w:hAnsi="Arial" w:cs="Arial"/>
        </w:rPr>
        <w:t>Normatividad supletoria. - No aplica.</w:t>
      </w:r>
    </w:p>
    <w:p w:rsidR="000E4B30" w:rsidRDefault="000E4B30" w:rsidP="000E4B30">
      <w:pPr>
        <w:pStyle w:val="Prrafodelista"/>
        <w:numPr>
          <w:ilvl w:val="1"/>
          <w:numId w:val="4"/>
        </w:numPr>
        <w:spacing w:after="200"/>
        <w:jc w:val="both"/>
        <w:rPr>
          <w:rFonts w:ascii="Arial" w:hAnsi="Arial" w:cs="Arial"/>
        </w:rPr>
      </w:pPr>
      <w:r w:rsidRPr="00183F27">
        <w:rPr>
          <w:rFonts w:ascii="Arial" w:hAnsi="Arial" w:cs="Arial"/>
        </w:rPr>
        <w:t>La política de reconocimiento en base a lo devengado es que la contabilización de las transacciones de gasto se registra y reconoce conforme a la fecha de su realización.</w:t>
      </w:r>
    </w:p>
    <w:p w:rsidR="000E4B30" w:rsidRDefault="000E4B30" w:rsidP="000E4B30">
      <w:pPr>
        <w:pStyle w:val="Prrafodelista"/>
        <w:spacing w:after="200"/>
        <w:ind w:left="1440"/>
        <w:jc w:val="both"/>
        <w:rPr>
          <w:rFonts w:ascii="Arial" w:hAnsi="Arial" w:cs="Arial"/>
        </w:rPr>
      </w:pPr>
    </w:p>
    <w:p w:rsidR="000E4B30" w:rsidRPr="00427010" w:rsidRDefault="000E4B30" w:rsidP="000E4B30">
      <w:pPr>
        <w:pStyle w:val="Prrafodelista"/>
        <w:numPr>
          <w:ilvl w:val="0"/>
          <w:numId w:val="4"/>
        </w:numPr>
        <w:spacing w:after="200"/>
        <w:jc w:val="both"/>
        <w:rPr>
          <w:rFonts w:ascii="Arial" w:hAnsi="Arial" w:cs="Arial"/>
        </w:rPr>
      </w:pPr>
      <w:r w:rsidRPr="00823DFD">
        <w:rPr>
          <w:rFonts w:ascii="Arial" w:hAnsi="Arial" w:cs="Arial"/>
          <w:b/>
        </w:rPr>
        <w:t>Políticas de Contabilidad Significativas</w:t>
      </w:r>
    </w:p>
    <w:p w:rsidR="000E4B30" w:rsidRPr="00823DFD" w:rsidRDefault="000E4B30" w:rsidP="000E4B30">
      <w:pPr>
        <w:pStyle w:val="Prrafodelista"/>
        <w:jc w:val="both"/>
        <w:rPr>
          <w:rFonts w:ascii="Arial" w:hAnsi="Arial" w:cs="Arial"/>
        </w:rPr>
      </w:pP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El Patrimonio está registrado a valor histórico. Se informa que los activos de bie</w:t>
      </w:r>
      <w:r>
        <w:rPr>
          <w:rFonts w:ascii="Arial" w:hAnsi="Arial" w:cs="Arial"/>
        </w:rPr>
        <w:t>nes muebles e inmuebles se encuentran depreciados a valor en libros</w:t>
      </w:r>
      <w:r w:rsidRPr="00823DFD">
        <w:rPr>
          <w:rFonts w:ascii="Arial" w:hAnsi="Arial" w:cs="Arial"/>
        </w:rPr>
        <w:t>.</w:t>
      </w:r>
    </w:p>
    <w:p w:rsidR="000E4B30" w:rsidRPr="00823DFD" w:rsidRDefault="000E4B30" w:rsidP="000E4B30">
      <w:pPr>
        <w:pStyle w:val="Prrafodelista"/>
        <w:jc w:val="both"/>
        <w:rPr>
          <w:rFonts w:ascii="Arial" w:hAnsi="Arial" w:cs="Arial"/>
        </w:rPr>
      </w:pPr>
      <w:r w:rsidRPr="00823DFD">
        <w:rPr>
          <w:rFonts w:ascii="Arial" w:hAnsi="Arial" w:cs="Arial"/>
        </w:rPr>
        <w:t>Se estuvieron asignando los resguardos de acuerdo a las renuncias voluntarias, nuevo personal y solicitudes de cambio de resguardo para fortalecer el buen funcionamiento de las actividades programadas en las diferentes áreas de la Universidad.</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No se realizaron operaciones en el extranjero.</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No se tienen inversiones en acciones de Compañías subsidiarias no consolidadas y asociadas.</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lastRenderedPageBreak/>
        <w:t>Se lleva un control a detalle del almacén. Se encuentra valuado de acuerdo al método de primeras entradas, primeras salidas (PEPS).</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No se dan beneficios a empleados diferentes a los determinados en los tabuladores autorizados.</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No se cuentan con provisiones.</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No se han creado reservas.</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 xml:space="preserve">Durante el mes de </w:t>
      </w:r>
      <w:r>
        <w:rPr>
          <w:rFonts w:ascii="Arial" w:hAnsi="Arial" w:cs="Arial"/>
        </w:rPr>
        <w:t>DICIEMBRE</w:t>
      </w:r>
      <w:r w:rsidRPr="00823DFD">
        <w:rPr>
          <w:rFonts w:ascii="Arial" w:hAnsi="Arial" w:cs="Arial"/>
        </w:rPr>
        <w:t xml:space="preserve"> no se generaron cambios en políticas contables o corrección de errores.</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No se generaron reclasificaciones.</w:t>
      </w:r>
    </w:p>
    <w:p w:rsidR="000E4B30" w:rsidRPr="00823DFD" w:rsidRDefault="000E4B30" w:rsidP="000E4B30">
      <w:pPr>
        <w:pStyle w:val="Prrafodelista"/>
        <w:numPr>
          <w:ilvl w:val="1"/>
          <w:numId w:val="2"/>
        </w:numPr>
        <w:spacing w:after="200"/>
        <w:jc w:val="both"/>
        <w:rPr>
          <w:rFonts w:ascii="Arial" w:hAnsi="Arial" w:cs="Arial"/>
        </w:rPr>
      </w:pPr>
      <w:r w:rsidRPr="00823DFD">
        <w:rPr>
          <w:rFonts w:ascii="Arial" w:hAnsi="Arial" w:cs="Arial"/>
        </w:rPr>
        <w:t>Se encuentra en proceso de revisión la posibilidad de depuración de saldos de adeudos y pago a proveedores, en que se han ido arrastrando de ejercicio anteriores.</w:t>
      </w:r>
    </w:p>
    <w:p w:rsidR="000E4B30" w:rsidRDefault="000E4B30" w:rsidP="000E4B30">
      <w:pPr>
        <w:pStyle w:val="Prrafodelista"/>
        <w:ind w:left="360"/>
        <w:jc w:val="both"/>
        <w:rPr>
          <w:rFonts w:ascii="Arial" w:hAnsi="Arial" w:cs="Arial"/>
        </w:rPr>
      </w:pPr>
    </w:p>
    <w:p w:rsidR="000E4B30" w:rsidRPr="00427010" w:rsidRDefault="000E4B30" w:rsidP="000E4B30">
      <w:pPr>
        <w:pStyle w:val="Prrafodelista"/>
        <w:numPr>
          <w:ilvl w:val="0"/>
          <w:numId w:val="4"/>
        </w:numPr>
        <w:spacing w:after="200"/>
        <w:jc w:val="both"/>
        <w:rPr>
          <w:rFonts w:ascii="Arial" w:hAnsi="Arial" w:cs="Arial"/>
        </w:rPr>
      </w:pPr>
      <w:r w:rsidRPr="00183F27">
        <w:rPr>
          <w:rFonts w:ascii="Arial" w:hAnsi="Arial" w:cs="Arial"/>
          <w:b/>
        </w:rPr>
        <w:t xml:space="preserve">Posición en Moneda Extranjera y </w:t>
      </w:r>
      <w:r w:rsidRPr="00427010">
        <w:rPr>
          <w:rFonts w:ascii="Arial" w:hAnsi="Arial" w:cs="Arial"/>
          <w:b/>
        </w:rPr>
        <w:t>Protección por Riesgo Cambiario</w:t>
      </w:r>
    </w:p>
    <w:p w:rsidR="000E4B30" w:rsidRDefault="000E4B30" w:rsidP="000E4B30">
      <w:pPr>
        <w:pStyle w:val="Prrafodelista"/>
        <w:ind w:left="360" w:firstLine="348"/>
        <w:jc w:val="both"/>
        <w:rPr>
          <w:rFonts w:ascii="Arial" w:hAnsi="Arial" w:cs="Arial"/>
        </w:rPr>
      </w:pPr>
      <w:r w:rsidRPr="00427010">
        <w:rPr>
          <w:rFonts w:ascii="Arial" w:hAnsi="Arial" w:cs="Arial"/>
        </w:rPr>
        <w:t>No aplica este rubro por no manejar moneda extranjera.</w:t>
      </w:r>
    </w:p>
    <w:p w:rsidR="000E4B30" w:rsidRPr="00427010" w:rsidRDefault="000E4B30" w:rsidP="000E4B30">
      <w:pPr>
        <w:pStyle w:val="Prrafodelista"/>
        <w:ind w:left="360" w:firstLine="348"/>
        <w:jc w:val="both"/>
        <w:rPr>
          <w:rFonts w:ascii="Arial" w:hAnsi="Arial" w:cs="Arial"/>
        </w:rPr>
      </w:pPr>
      <w:r>
        <w:rPr>
          <w:rFonts w:ascii="Arial" w:hAnsi="Arial" w:cs="Arial"/>
        </w:rPr>
        <w:t>Las cantidades son expresadas en moneda nacional (MXN)</w:t>
      </w:r>
    </w:p>
    <w:p w:rsidR="000E4B30" w:rsidRPr="00427010" w:rsidRDefault="000E4B30" w:rsidP="000E4B30">
      <w:pPr>
        <w:pStyle w:val="Prrafodelista"/>
        <w:ind w:left="360"/>
        <w:jc w:val="both"/>
        <w:rPr>
          <w:rFonts w:ascii="Arial" w:hAnsi="Arial" w:cs="Arial"/>
        </w:rPr>
      </w:pPr>
    </w:p>
    <w:p w:rsidR="000E4B30" w:rsidRPr="00427010" w:rsidRDefault="000E4B30" w:rsidP="000E4B30">
      <w:pPr>
        <w:pStyle w:val="Prrafodelista"/>
        <w:numPr>
          <w:ilvl w:val="0"/>
          <w:numId w:val="4"/>
        </w:numPr>
        <w:spacing w:after="200" w:line="276" w:lineRule="auto"/>
        <w:jc w:val="both"/>
        <w:rPr>
          <w:rFonts w:ascii="Arial" w:hAnsi="Arial" w:cs="Arial"/>
        </w:rPr>
      </w:pPr>
      <w:r w:rsidRPr="00427010">
        <w:rPr>
          <w:rFonts w:ascii="Arial" w:hAnsi="Arial" w:cs="Arial"/>
          <w:b/>
        </w:rPr>
        <w:t>Reporte Analítico del Activo</w:t>
      </w:r>
      <w:r w:rsidRPr="00427010">
        <w:rPr>
          <w:rFonts w:ascii="Arial" w:hAnsi="Arial" w:cs="Arial"/>
        </w:rPr>
        <w:t xml:space="preserve"> </w:t>
      </w:r>
    </w:p>
    <w:p w:rsidR="000E4B30" w:rsidRPr="00427010" w:rsidRDefault="000E4B30" w:rsidP="000E4B30">
      <w:pPr>
        <w:pStyle w:val="Prrafodelista"/>
        <w:jc w:val="both"/>
        <w:rPr>
          <w:rFonts w:ascii="Arial" w:hAnsi="Arial" w:cs="Arial"/>
        </w:rPr>
      </w:pPr>
      <w:r w:rsidRPr="00427010">
        <w:rPr>
          <w:rFonts w:ascii="Arial" w:hAnsi="Arial" w:cs="Arial"/>
        </w:rPr>
        <w:t xml:space="preserve">Se realizó el cálculo y registro de la depreciación de los bienes de activo no circulante. </w:t>
      </w:r>
    </w:p>
    <w:p w:rsidR="000E4B30" w:rsidRPr="00427010" w:rsidRDefault="000E4B30" w:rsidP="000E4B30">
      <w:pPr>
        <w:pStyle w:val="Prrafodelista"/>
        <w:ind w:left="360"/>
        <w:jc w:val="both"/>
        <w:rPr>
          <w:rFonts w:ascii="Arial" w:hAnsi="Arial" w:cs="Arial"/>
        </w:rPr>
      </w:pPr>
    </w:p>
    <w:p w:rsidR="000E4B30" w:rsidRPr="00427010" w:rsidRDefault="000E4B30" w:rsidP="000E4B30">
      <w:pPr>
        <w:pStyle w:val="Prrafodelista"/>
        <w:numPr>
          <w:ilvl w:val="0"/>
          <w:numId w:val="4"/>
        </w:numPr>
        <w:spacing w:after="200"/>
        <w:jc w:val="both"/>
        <w:rPr>
          <w:rFonts w:ascii="Arial" w:hAnsi="Arial" w:cs="Arial"/>
        </w:rPr>
      </w:pPr>
      <w:r w:rsidRPr="00427010">
        <w:rPr>
          <w:rFonts w:ascii="Arial" w:hAnsi="Arial" w:cs="Arial"/>
          <w:b/>
        </w:rPr>
        <w:t>Fideicomisos, Mandatos y Análogos</w:t>
      </w:r>
    </w:p>
    <w:p w:rsidR="000E4B30" w:rsidRPr="00427010" w:rsidRDefault="000E4B30" w:rsidP="000E4B30">
      <w:pPr>
        <w:pStyle w:val="Prrafodelista"/>
        <w:ind w:left="360" w:firstLine="348"/>
        <w:jc w:val="both"/>
        <w:rPr>
          <w:rFonts w:ascii="Arial" w:hAnsi="Arial" w:cs="Arial"/>
        </w:rPr>
      </w:pPr>
      <w:r w:rsidRPr="00427010">
        <w:rPr>
          <w:rFonts w:ascii="Arial" w:hAnsi="Arial" w:cs="Arial"/>
        </w:rPr>
        <w:t>No aplica este rubro por carecer de ello.</w:t>
      </w:r>
    </w:p>
    <w:p w:rsidR="000E4B30" w:rsidRPr="00427010" w:rsidRDefault="000E4B30" w:rsidP="000E4B30">
      <w:pPr>
        <w:pStyle w:val="Prrafodelista"/>
        <w:ind w:left="360"/>
        <w:jc w:val="both"/>
        <w:rPr>
          <w:rFonts w:ascii="Arial" w:hAnsi="Arial" w:cs="Arial"/>
        </w:rPr>
      </w:pPr>
    </w:p>
    <w:p w:rsidR="000E4B30" w:rsidRPr="00427010" w:rsidRDefault="000E4B30" w:rsidP="000E4B30">
      <w:pPr>
        <w:pStyle w:val="Prrafodelista"/>
        <w:numPr>
          <w:ilvl w:val="0"/>
          <w:numId w:val="4"/>
        </w:numPr>
        <w:spacing w:after="200" w:line="276" w:lineRule="auto"/>
        <w:jc w:val="both"/>
        <w:rPr>
          <w:rFonts w:ascii="Arial" w:hAnsi="Arial" w:cs="Arial"/>
        </w:rPr>
      </w:pPr>
      <w:r w:rsidRPr="00427010">
        <w:rPr>
          <w:rFonts w:ascii="Arial" w:hAnsi="Arial" w:cs="Arial"/>
          <w:b/>
        </w:rPr>
        <w:t xml:space="preserve">Reporte de la Recaudación en el mes de </w:t>
      </w:r>
      <w:r>
        <w:rPr>
          <w:rFonts w:ascii="Arial" w:hAnsi="Arial" w:cs="Arial"/>
          <w:b/>
        </w:rPr>
        <w:t>DICIEMBRE</w:t>
      </w:r>
    </w:p>
    <w:p w:rsidR="000E4B30" w:rsidRPr="00F663BA" w:rsidRDefault="000E4B30" w:rsidP="000E4B30">
      <w:pPr>
        <w:pStyle w:val="Prrafodelista"/>
        <w:numPr>
          <w:ilvl w:val="0"/>
          <w:numId w:val="5"/>
        </w:numPr>
        <w:spacing w:after="200"/>
        <w:jc w:val="both"/>
        <w:rPr>
          <w:rFonts w:ascii="Arial" w:hAnsi="Arial" w:cs="Arial"/>
        </w:rPr>
      </w:pPr>
      <w:r w:rsidRPr="00F663BA">
        <w:rPr>
          <w:rFonts w:ascii="Arial" w:hAnsi="Arial" w:cs="Arial"/>
        </w:rPr>
        <w:t xml:space="preserve">Durante el mes de </w:t>
      </w:r>
      <w:r w:rsidRPr="00545D80">
        <w:rPr>
          <w:rFonts w:ascii="Arial" w:hAnsi="Arial" w:cs="Arial"/>
          <w:b/>
        </w:rPr>
        <w:t>DICIEMB</w:t>
      </w:r>
      <w:r>
        <w:rPr>
          <w:rFonts w:ascii="Arial" w:hAnsi="Arial" w:cs="Arial"/>
          <w:b/>
        </w:rPr>
        <w:t>RE</w:t>
      </w:r>
    </w:p>
    <w:p w:rsidR="000E4B30" w:rsidRDefault="000E4B30" w:rsidP="000E4B30">
      <w:pPr>
        <w:pStyle w:val="Prrafodelista"/>
        <w:ind w:left="1080"/>
        <w:jc w:val="both"/>
        <w:rPr>
          <w:rFonts w:ascii="Arial" w:hAnsi="Arial" w:cs="Arial"/>
        </w:rPr>
      </w:pPr>
    </w:p>
    <w:tbl>
      <w:tblPr>
        <w:tblW w:w="5858" w:type="pct"/>
        <w:jc w:val="center"/>
        <w:tblLayout w:type="fixed"/>
        <w:tblCellMar>
          <w:left w:w="70" w:type="dxa"/>
          <w:right w:w="70" w:type="dxa"/>
        </w:tblCellMar>
        <w:tblLook w:val="04A0" w:firstRow="1" w:lastRow="0" w:firstColumn="1" w:lastColumn="0" w:noHBand="0" w:noVBand="1"/>
      </w:tblPr>
      <w:tblGrid>
        <w:gridCol w:w="1755"/>
        <w:gridCol w:w="1488"/>
        <w:gridCol w:w="1487"/>
        <w:gridCol w:w="1353"/>
        <w:gridCol w:w="1218"/>
        <w:gridCol w:w="1218"/>
        <w:gridCol w:w="1216"/>
        <w:gridCol w:w="608"/>
      </w:tblGrid>
      <w:tr w:rsidR="000E4B30" w:rsidRPr="00C777C1" w:rsidTr="00F34562">
        <w:trPr>
          <w:trHeight w:val="1430"/>
          <w:jc w:val="center"/>
        </w:trPr>
        <w:tc>
          <w:tcPr>
            <w:tcW w:w="84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0E4B30" w:rsidRPr="00C777C1" w:rsidRDefault="000E4B30" w:rsidP="00F34562">
            <w:pPr>
              <w:jc w:val="center"/>
              <w:rPr>
                <w:rFonts w:ascii="Arial Narrow" w:eastAsia="Times New Roman" w:hAnsi="Arial Narrow" w:cs="Arial"/>
                <w:b/>
                <w:bCs/>
                <w:color w:val="000000"/>
                <w:sz w:val="14"/>
                <w:szCs w:val="22"/>
                <w:lang w:eastAsia="es-MX"/>
              </w:rPr>
            </w:pPr>
            <w:r w:rsidRPr="00C777C1">
              <w:rPr>
                <w:rFonts w:ascii="Arial Narrow" w:eastAsia="Times New Roman" w:hAnsi="Arial Narrow" w:cs="Arial"/>
                <w:b/>
                <w:bCs/>
                <w:color w:val="000000"/>
                <w:sz w:val="14"/>
                <w:szCs w:val="22"/>
                <w:lang w:eastAsia="es-MX"/>
              </w:rPr>
              <w:t>F u e n t e    d e    I n g r e s o s</w:t>
            </w:r>
          </w:p>
        </w:tc>
        <w:tc>
          <w:tcPr>
            <w:tcW w:w="719" w:type="pct"/>
            <w:tcBorders>
              <w:top w:val="single" w:sz="4" w:space="0" w:color="auto"/>
              <w:left w:val="nil"/>
              <w:bottom w:val="single" w:sz="4" w:space="0" w:color="auto"/>
              <w:right w:val="single" w:sz="4" w:space="0" w:color="auto"/>
            </w:tcBorders>
            <w:shd w:val="clear" w:color="000000" w:fill="BFBFBF"/>
            <w:vAlign w:val="center"/>
            <w:hideMark/>
          </w:tcPr>
          <w:p w:rsidR="000E4B30" w:rsidRPr="00C777C1" w:rsidRDefault="000E4B30" w:rsidP="00F34562">
            <w:pPr>
              <w:jc w:val="center"/>
              <w:rPr>
                <w:rFonts w:ascii="Arial Narrow" w:eastAsia="Times New Roman" w:hAnsi="Arial Narrow" w:cs="Arial"/>
                <w:b/>
                <w:bCs/>
                <w:color w:val="000000"/>
                <w:sz w:val="14"/>
                <w:szCs w:val="22"/>
                <w:lang w:eastAsia="es-MX"/>
              </w:rPr>
            </w:pPr>
            <w:r w:rsidRPr="00C777C1">
              <w:rPr>
                <w:rFonts w:ascii="Arial Narrow" w:eastAsia="Times New Roman" w:hAnsi="Arial Narrow" w:cs="Arial"/>
                <w:b/>
                <w:bCs/>
                <w:color w:val="000000"/>
                <w:sz w:val="14"/>
                <w:szCs w:val="22"/>
                <w:lang w:eastAsia="es-MX"/>
              </w:rPr>
              <w:t>Ley de Ingresos Estimada</w:t>
            </w:r>
          </w:p>
        </w:tc>
        <w:tc>
          <w:tcPr>
            <w:tcW w:w="719" w:type="pct"/>
            <w:tcBorders>
              <w:top w:val="single" w:sz="4" w:space="0" w:color="auto"/>
              <w:left w:val="nil"/>
              <w:bottom w:val="single" w:sz="4" w:space="0" w:color="auto"/>
              <w:right w:val="single" w:sz="4" w:space="0" w:color="auto"/>
            </w:tcBorders>
            <w:shd w:val="clear" w:color="000000" w:fill="BFBFBF"/>
            <w:vAlign w:val="center"/>
            <w:hideMark/>
          </w:tcPr>
          <w:p w:rsidR="000E4B30" w:rsidRPr="00C777C1" w:rsidRDefault="000E4B30" w:rsidP="00F34562">
            <w:pPr>
              <w:jc w:val="center"/>
              <w:rPr>
                <w:rFonts w:ascii="Arial Narrow" w:eastAsia="Times New Roman" w:hAnsi="Arial Narrow" w:cs="Arial"/>
                <w:b/>
                <w:bCs/>
                <w:color w:val="000000"/>
                <w:sz w:val="14"/>
                <w:szCs w:val="22"/>
                <w:lang w:eastAsia="es-MX"/>
              </w:rPr>
            </w:pPr>
            <w:r w:rsidRPr="00C777C1">
              <w:rPr>
                <w:rFonts w:ascii="Arial Narrow" w:eastAsia="Times New Roman" w:hAnsi="Arial Narrow" w:cs="Arial"/>
                <w:b/>
                <w:bCs/>
                <w:color w:val="000000"/>
                <w:sz w:val="14"/>
                <w:szCs w:val="22"/>
                <w:lang w:eastAsia="es-MX"/>
              </w:rPr>
              <w:t>Ampliaciones / (Reduciones)</w:t>
            </w:r>
          </w:p>
        </w:tc>
        <w:tc>
          <w:tcPr>
            <w:tcW w:w="654" w:type="pct"/>
            <w:tcBorders>
              <w:top w:val="single" w:sz="4" w:space="0" w:color="auto"/>
              <w:left w:val="nil"/>
              <w:bottom w:val="single" w:sz="4" w:space="0" w:color="auto"/>
              <w:right w:val="single" w:sz="4" w:space="0" w:color="auto"/>
            </w:tcBorders>
            <w:shd w:val="clear" w:color="000000" w:fill="BFBFBF"/>
            <w:vAlign w:val="center"/>
            <w:hideMark/>
          </w:tcPr>
          <w:p w:rsidR="000E4B30" w:rsidRPr="00C777C1" w:rsidRDefault="000E4B30" w:rsidP="00F34562">
            <w:pPr>
              <w:jc w:val="center"/>
              <w:rPr>
                <w:rFonts w:ascii="Arial Narrow" w:eastAsia="Times New Roman" w:hAnsi="Arial Narrow" w:cs="Arial"/>
                <w:b/>
                <w:bCs/>
                <w:color w:val="000000"/>
                <w:sz w:val="14"/>
                <w:szCs w:val="22"/>
                <w:lang w:eastAsia="es-MX"/>
              </w:rPr>
            </w:pPr>
            <w:r w:rsidRPr="00C777C1">
              <w:rPr>
                <w:rFonts w:ascii="Arial Narrow" w:eastAsia="Times New Roman" w:hAnsi="Arial Narrow" w:cs="Arial"/>
                <w:b/>
                <w:bCs/>
                <w:color w:val="000000"/>
                <w:sz w:val="14"/>
                <w:szCs w:val="22"/>
                <w:lang w:eastAsia="es-MX"/>
              </w:rPr>
              <w:t>Ley de Ingresos Modificada</w:t>
            </w:r>
          </w:p>
        </w:tc>
        <w:tc>
          <w:tcPr>
            <w:tcW w:w="589" w:type="pct"/>
            <w:tcBorders>
              <w:top w:val="single" w:sz="4" w:space="0" w:color="auto"/>
              <w:left w:val="nil"/>
              <w:bottom w:val="single" w:sz="4" w:space="0" w:color="auto"/>
              <w:right w:val="single" w:sz="4" w:space="0" w:color="auto"/>
            </w:tcBorders>
            <w:shd w:val="clear" w:color="000000" w:fill="BFBFBF"/>
            <w:vAlign w:val="center"/>
            <w:hideMark/>
          </w:tcPr>
          <w:p w:rsidR="000E4B30" w:rsidRPr="00C777C1" w:rsidRDefault="000E4B30" w:rsidP="00F34562">
            <w:pPr>
              <w:jc w:val="center"/>
              <w:rPr>
                <w:rFonts w:ascii="Arial Narrow" w:eastAsia="Times New Roman" w:hAnsi="Arial Narrow" w:cs="Arial"/>
                <w:b/>
                <w:bCs/>
                <w:color w:val="000000"/>
                <w:sz w:val="14"/>
                <w:szCs w:val="22"/>
                <w:lang w:eastAsia="es-MX"/>
              </w:rPr>
            </w:pPr>
            <w:r w:rsidRPr="00C777C1">
              <w:rPr>
                <w:rFonts w:ascii="Arial Narrow" w:eastAsia="Times New Roman" w:hAnsi="Arial Narrow" w:cs="Arial"/>
                <w:b/>
                <w:bCs/>
                <w:color w:val="000000"/>
                <w:sz w:val="16"/>
                <w:szCs w:val="22"/>
                <w:lang w:eastAsia="es-MX"/>
              </w:rPr>
              <w:t>Ingresos Devengados</w:t>
            </w:r>
          </w:p>
        </w:tc>
        <w:tc>
          <w:tcPr>
            <w:tcW w:w="589" w:type="pct"/>
            <w:tcBorders>
              <w:top w:val="single" w:sz="4" w:space="0" w:color="auto"/>
              <w:left w:val="nil"/>
              <w:bottom w:val="single" w:sz="4" w:space="0" w:color="auto"/>
              <w:right w:val="single" w:sz="4" w:space="0" w:color="auto"/>
            </w:tcBorders>
            <w:shd w:val="clear" w:color="000000" w:fill="BFBFBF"/>
            <w:vAlign w:val="center"/>
            <w:hideMark/>
          </w:tcPr>
          <w:p w:rsidR="000E4B30" w:rsidRPr="00C777C1" w:rsidRDefault="000E4B30" w:rsidP="00F34562">
            <w:pPr>
              <w:jc w:val="center"/>
              <w:rPr>
                <w:rFonts w:ascii="Arial Narrow" w:eastAsia="Times New Roman" w:hAnsi="Arial Narrow" w:cs="Arial"/>
                <w:b/>
                <w:bCs/>
                <w:color w:val="000000"/>
                <w:sz w:val="14"/>
                <w:szCs w:val="22"/>
                <w:lang w:eastAsia="es-MX"/>
              </w:rPr>
            </w:pPr>
            <w:r w:rsidRPr="00C777C1">
              <w:rPr>
                <w:rFonts w:ascii="Arial Narrow" w:eastAsia="Times New Roman" w:hAnsi="Arial Narrow" w:cs="Arial"/>
                <w:b/>
                <w:bCs/>
                <w:color w:val="000000"/>
                <w:sz w:val="16"/>
                <w:szCs w:val="22"/>
                <w:lang w:eastAsia="es-MX"/>
              </w:rPr>
              <w:t>Ingresos Recaudados</w:t>
            </w:r>
          </w:p>
        </w:tc>
        <w:tc>
          <w:tcPr>
            <w:tcW w:w="588" w:type="pct"/>
            <w:tcBorders>
              <w:top w:val="single" w:sz="4" w:space="0" w:color="auto"/>
              <w:left w:val="nil"/>
              <w:bottom w:val="single" w:sz="4" w:space="0" w:color="auto"/>
              <w:right w:val="single" w:sz="4" w:space="0" w:color="auto"/>
            </w:tcBorders>
            <w:shd w:val="clear" w:color="000000" w:fill="BFBFBF"/>
            <w:vAlign w:val="center"/>
            <w:hideMark/>
          </w:tcPr>
          <w:p w:rsidR="000E4B30" w:rsidRPr="00C777C1" w:rsidRDefault="000E4B30" w:rsidP="00F34562">
            <w:pPr>
              <w:jc w:val="center"/>
              <w:rPr>
                <w:rFonts w:ascii="Arial Narrow" w:eastAsia="Times New Roman" w:hAnsi="Arial Narrow" w:cs="Arial"/>
                <w:b/>
                <w:bCs/>
                <w:color w:val="000000"/>
                <w:sz w:val="14"/>
                <w:szCs w:val="22"/>
                <w:lang w:eastAsia="es-MX"/>
              </w:rPr>
            </w:pPr>
            <w:r w:rsidRPr="00C777C1">
              <w:rPr>
                <w:rFonts w:ascii="Arial Narrow" w:eastAsia="Times New Roman" w:hAnsi="Arial Narrow" w:cs="Arial"/>
                <w:b/>
                <w:bCs/>
                <w:color w:val="000000"/>
                <w:sz w:val="14"/>
                <w:szCs w:val="22"/>
                <w:lang w:eastAsia="es-MX"/>
              </w:rPr>
              <w:t>Devengado Por Recaudar</w:t>
            </w:r>
          </w:p>
        </w:tc>
        <w:tc>
          <w:tcPr>
            <w:tcW w:w="294" w:type="pct"/>
            <w:tcBorders>
              <w:top w:val="single" w:sz="4" w:space="0" w:color="auto"/>
              <w:left w:val="nil"/>
              <w:bottom w:val="single" w:sz="4" w:space="0" w:color="auto"/>
              <w:right w:val="single" w:sz="4" w:space="0" w:color="auto"/>
            </w:tcBorders>
            <w:shd w:val="clear" w:color="000000" w:fill="BFBFBF"/>
            <w:vAlign w:val="center"/>
            <w:hideMark/>
          </w:tcPr>
          <w:p w:rsidR="000E4B30" w:rsidRPr="00C777C1" w:rsidRDefault="000E4B30" w:rsidP="00F34562">
            <w:pPr>
              <w:jc w:val="center"/>
              <w:rPr>
                <w:rFonts w:ascii="Arial Narrow" w:eastAsia="Times New Roman" w:hAnsi="Arial Narrow" w:cs="Arial"/>
                <w:b/>
                <w:bCs/>
                <w:color w:val="000000"/>
                <w:sz w:val="14"/>
                <w:szCs w:val="22"/>
                <w:lang w:eastAsia="es-MX"/>
              </w:rPr>
            </w:pPr>
            <w:r w:rsidRPr="00C777C1">
              <w:rPr>
                <w:rFonts w:ascii="Arial Narrow" w:eastAsia="Times New Roman" w:hAnsi="Arial Narrow" w:cs="Arial"/>
                <w:b/>
                <w:bCs/>
                <w:color w:val="000000"/>
                <w:sz w:val="14"/>
                <w:szCs w:val="22"/>
                <w:lang w:eastAsia="es-MX"/>
              </w:rPr>
              <w:t>Avance de recaudación %</w:t>
            </w:r>
          </w:p>
        </w:tc>
      </w:tr>
      <w:tr w:rsidR="000E4B30" w:rsidRPr="00C777C1" w:rsidTr="00F34562">
        <w:trPr>
          <w:trHeight w:val="1120"/>
          <w:jc w:val="center"/>
        </w:trPr>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4B30" w:rsidRPr="00C777C1" w:rsidRDefault="000E4B30" w:rsidP="00F34562">
            <w:pPr>
              <w:rPr>
                <w:rFonts w:ascii="Arial Narrow" w:eastAsia="Times New Roman" w:hAnsi="Arial Narrow" w:cs="Arial"/>
                <w:b/>
                <w:color w:val="000000"/>
                <w:sz w:val="14"/>
                <w:szCs w:val="20"/>
                <w:lang w:eastAsia="es-MX"/>
              </w:rPr>
            </w:pPr>
            <w:r w:rsidRPr="00C777C1">
              <w:rPr>
                <w:rFonts w:ascii="Arial Narrow" w:eastAsia="Times New Roman" w:hAnsi="Arial Narrow" w:cs="Arial"/>
                <w:b/>
                <w:color w:val="000000"/>
                <w:sz w:val="14"/>
                <w:szCs w:val="20"/>
                <w:lang w:eastAsia="es-MX"/>
              </w:rPr>
              <w:t>Ingresos por Venta de Bienes y Prestación de Servicios de Entidades Paraestatales y Fideicomisos No Empresariales y No Financieros</w:t>
            </w:r>
          </w:p>
        </w:tc>
        <w:tc>
          <w:tcPr>
            <w:tcW w:w="719"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3,946,060.00</w:t>
            </w:r>
          </w:p>
        </w:tc>
        <w:tc>
          <w:tcPr>
            <w:tcW w:w="719"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10,815,511.98</w:t>
            </w:r>
          </w:p>
        </w:tc>
        <w:tc>
          <w:tcPr>
            <w:tcW w:w="654"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3,946,060.00</w:t>
            </w:r>
          </w:p>
        </w:tc>
        <w:tc>
          <w:tcPr>
            <w:tcW w:w="589" w:type="pct"/>
            <w:tcBorders>
              <w:top w:val="nil"/>
              <w:left w:val="nil"/>
              <w:bottom w:val="single" w:sz="4" w:space="0" w:color="auto"/>
              <w:right w:val="single" w:sz="4" w:space="0" w:color="auto"/>
            </w:tcBorders>
            <w:shd w:val="clear" w:color="auto" w:fill="auto"/>
            <w:vAlign w:val="center"/>
            <w:hideMark/>
          </w:tcPr>
          <w:p w:rsidR="000E4B30" w:rsidRDefault="000E4B30" w:rsidP="00F34562">
            <w:pPr>
              <w:jc w:val="center"/>
              <w:rPr>
                <w:rFonts w:ascii="Arial Narrow" w:eastAsia="Times New Roman" w:hAnsi="Arial Narrow" w:cs="Arial"/>
                <w:color w:val="000000"/>
                <w:sz w:val="14"/>
                <w:szCs w:val="14"/>
                <w:lang w:eastAsia="es-MX"/>
              </w:rPr>
            </w:pPr>
          </w:p>
          <w:p w:rsidR="000E4B30" w:rsidRDefault="000E4B30" w:rsidP="00F34562">
            <w:pPr>
              <w:jc w:val="center"/>
              <w:rPr>
                <w:rFonts w:ascii="Arial Narrow" w:eastAsia="Times New Roman" w:hAnsi="Arial Narrow" w:cs="Arial"/>
                <w:color w:val="000000"/>
                <w:sz w:val="14"/>
                <w:szCs w:val="14"/>
                <w:lang w:eastAsia="es-MX"/>
              </w:rPr>
            </w:pPr>
          </w:p>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xml:space="preserve">$         </w:t>
            </w:r>
            <w:r>
              <w:rPr>
                <w:rFonts w:ascii="Arial Narrow" w:eastAsia="Times New Roman" w:hAnsi="Arial Narrow" w:cs="Arial"/>
                <w:color w:val="000000"/>
                <w:sz w:val="14"/>
                <w:szCs w:val="14"/>
                <w:lang w:eastAsia="es-MX"/>
              </w:rPr>
              <w:t>12,436,503.81</w:t>
            </w:r>
          </w:p>
          <w:p w:rsidR="000E4B30" w:rsidRPr="002D539D" w:rsidRDefault="000E4B30" w:rsidP="00F34562">
            <w:pPr>
              <w:jc w:val="center"/>
              <w:rPr>
                <w:rFonts w:ascii="Arial Narrow" w:eastAsia="Times New Roman" w:hAnsi="Arial Narrow" w:cs="Arial"/>
                <w:color w:val="000000"/>
                <w:sz w:val="14"/>
                <w:szCs w:val="14"/>
                <w:lang w:eastAsia="es-MX"/>
              </w:rPr>
            </w:pPr>
          </w:p>
          <w:p w:rsidR="000E4B30" w:rsidRPr="002D539D" w:rsidRDefault="000E4B30" w:rsidP="00F34562">
            <w:pPr>
              <w:jc w:val="center"/>
              <w:rPr>
                <w:rFonts w:ascii="Arial Narrow" w:eastAsia="Times New Roman" w:hAnsi="Arial Narrow" w:cs="Arial"/>
                <w:color w:val="000000"/>
                <w:sz w:val="14"/>
                <w:szCs w:val="14"/>
                <w:lang w:eastAsia="es-MX"/>
              </w:rPr>
            </w:pPr>
          </w:p>
        </w:tc>
        <w:tc>
          <w:tcPr>
            <w:tcW w:w="589" w:type="pct"/>
            <w:tcBorders>
              <w:top w:val="nil"/>
              <w:left w:val="nil"/>
              <w:bottom w:val="single" w:sz="4" w:space="0" w:color="auto"/>
              <w:right w:val="single" w:sz="4" w:space="0" w:color="auto"/>
            </w:tcBorders>
            <w:shd w:val="clear" w:color="auto" w:fill="D9D9D9" w:themeFill="background1" w:themeFillShade="D9"/>
            <w:vAlign w:val="center"/>
            <w:hideMark/>
          </w:tcPr>
          <w:p w:rsidR="000E4B30" w:rsidRPr="00347EA9" w:rsidRDefault="000E4B30" w:rsidP="00F34562">
            <w:pPr>
              <w:jc w:val="center"/>
              <w:rPr>
                <w:rFonts w:ascii="Arial Narrow" w:eastAsia="Times New Roman" w:hAnsi="Arial Narrow" w:cs="Arial"/>
                <w:b/>
                <w:color w:val="000000"/>
                <w:sz w:val="14"/>
                <w:szCs w:val="14"/>
                <w:lang w:eastAsia="es-MX"/>
              </w:rPr>
            </w:pPr>
          </w:p>
          <w:p w:rsidR="000E4B30" w:rsidRPr="00347EA9" w:rsidRDefault="000E4B30" w:rsidP="00F34562">
            <w:pPr>
              <w:jc w:val="center"/>
              <w:rPr>
                <w:rFonts w:ascii="Arial Narrow" w:eastAsia="Times New Roman" w:hAnsi="Arial Narrow" w:cs="Arial"/>
                <w:b/>
                <w:color w:val="000000"/>
                <w:sz w:val="14"/>
                <w:szCs w:val="14"/>
                <w:lang w:eastAsia="es-MX"/>
              </w:rPr>
            </w:pPr>
          </w:p>
          <w:p w:rsidR="000E4B30" w:rsidRPr="00347EA9" w:rsidRDefault="000E4B30" w:rsidP="00F34562">
            <w:pPr>
              <w:jc w:val="center"/>
              <w:rPr>
                <w:rFonts w:ascii="Arial Narrow" w:eastAsia="Times New Roman" w:hAnsi="Arial Narrow" w:cs="Arial"/>
                <w:b/>
                <w:color w:val="000000"/>
                <w:sz w:val="14"/>
                <w:szCs w:val="14"/>
                <w:lang w:eastAsia="es-MX"/>
              </w:rPr>
            </w:pPr>
            <w:r w:rsidRPr="00347EA9">
              <w:rPr>
                <w:rFonts w:ascii="Arial Narrow" w:eastAsia="Times New Roman" w:hAnsi="Arial Narrow" w:cs="Arial"/>
                <w:b/>
                <w:color w:val="000000"/>
                <w:sz w:val="14"/>
                <w:szCs w:val="14"/>
                <w:lang w:eastAsia="es-MX"/>
              </w:rPr>
              <w:t xml:space="preserve">$            </w:t>
            </w:r>
            <w:r>
              <w:rPr>
                <w:rFonts w:ascii="Arial Narrow" w:eastAsia="Times New Roman" w:hAnsi="Arial Narrow" w:cs="Arial"/>
                <w:b/>
                <w:color w:val="000000"/>
                <w:sz w:val="14"/>
                <w:szCs w:val="14"/>
                <w:lang w:eastAsia="es-MX"/>
              </w:rPr>
              <w:t>1,580,860.77</w:t>
            </w:r>
          </w:p>
          <w:p w:rsidR="000E4B30" w:rsidRPr="00347EA9" w:rsidRDefault="000E4B30" w:rsidP="00F34562">
            <w:pPr>
              <w:jc w:val="center"/>
              <w:rPr>
                <w:rFonts w:ascii="Arial Narrow" w:eastAsia="Times New Roman" w:hAnsi="Arial Narrow" w:cs="Arial"/>
                <w:b/>
                <w:color w:val="000000"/>
                <w:sz w:val="14"/>
                <w:szCs w:val="14"/>
                <w:lang w:eastAsia="es-MX"/>
              </w:rPr>
            </w:pPr>
          </w:p>
        </w:tc>
        <w:tc>
          <w:tcPr>
            <w:tcW w:w="588"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10,855,643.04</w:t>
            </w:r>
          </w:p>
        </w:tc>
        <w:tc>
          <w:tcPr>
            <w:tcW w:w="294"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10.70</w:t>
            </w:r>
            <w:r w:rsidRPr="002D539D">
              <w:rPr>
                <w:rFonts w:ascii="Arial Narrow" w:eastAsia="Times New Roman" w:hAnsi="Arial Narrow" w:cs="Arial"/>
                <w:color w:val="000000"/>
                <w:sz w:val="14"/>
                <w:szCs w:val="14"/>
                <w:lang w:eastAsia="es-MX"/>
              </w:rPr>
              <w:t>%</w:t>
            </w:r>
          </w:p>
        </w:tc>
      </w:tr>
      <w:tr w:rsidR="000E4B30" w:rsidRPr="00C777C1" w:rsidTr="00F34562">
        <w:trPr>
          <w:trHeight w:val="290"/>
          <w:jc w:val="center"/>
        </w:trPr>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E4B30" w:rsidRPr="00C777C1" w:rsidRDefault="000E4B30" w:rsidP="00F34562">
            <w:pPr>
              <w:rPr>
                <w:rFonts w:ascii="Arial Narrow" w:eastAsia="Times New Roman" w:hAnsi="Arial Narrow" w:cs="Arial"/>
                <w:b/>
                <w:color w:val="000000"/>
                <w:sz w:val="14"/>
                <w:szCs w:val="20"/>
                <w:lang w:eastAsia="es-MX"/>
              </w:rPr>
            </w:pPr>
            <w:r w:rsidRPr="00C777C1">
              <w:rPr>
                <w:rFonts w:ascii="Arial Narrow" w:eastAsia="Times New Roman" w:hAnsi="Arial Narrow" w:cs="Arial"/>
                <w:b/>
                <w:color w:val="000000"/>
                <w:sz w:val="14"/>
                <w:szCs w:val="20"/>
                <w:lang w:eastAsia="es-MX"/>
              </w:rPr>
              <w:t xml:space="preserve">Recurso Federal </w:t>
            </w:r>
          </w:p>
        </w:tc>
        <w:tc>
          <w:tcPr>
            <w:tcW w:w="719"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45,463,715.00</w:t>
            </w:r>
          </w:p>
        </w:tc>
        <w:tc>
          <w:tcPr>
            <w:tcW w:w="719"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xml:space="preserve">$         </w:t>
            </w:r>
            <w:r>
              <w:rPr>
                <w:rFonts w:ascii="Arial Narrow" w:eastAsia="Times New Roman" w:hAnsi="Arial Narrow" w:cs="Arial"/>
                <w:color w:val="000000"/>
                <w:sz w:val="14"/>
                <w:szCs w:val="14"/>
                <w:lang w:eastAsia="es-MX"/>
              </w:rPr>
              <w:t xml:space="preserve">                          </w:t>
            </w:r>
            <w:r w:rsidRPr="002D539D">
              <w:rPr>
                <w:rFonts w:ascii="Arial Narrow" w:eastAsia="Times New Roman" w:hAnsi="Arial Narrow" w:cs="Arial"/>
                <w:color w:val="000000"/>
                <w:sz w:val="14"/>
                <w:szCs w:val="14"/>
                <w:lang w:eastAsia="es-MX"/>
              </w:rPr>
              <w:t xml:space="preserve">    -</w:t>
            </w:r>
          </w:p>
        </w:tc>
        <w:tc>
          <w:tcPr>
            <w:tcW w:w="654"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45,463,715.00</w:t>
            </w:r>
          </w:p>
        </w:tc>
        <w:tc>
          <w:tcPr>
            <w:tcW w:w="589"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45,463,715.00</w:t>
            </w:r>
          </w:p>
        </w:tc>
        <w:tc>
          <w:tcPr>
            <w:tcW w:w="589" w:type="pct"/>
            <w:tcBorders>
              <w:top w:val="nil"/>
              <w:left w:val="nil"/>
              <w:bottom w:val="single" w:sz="4" w:space="0" w:color="auto"/>
              <w:right w:val="single" w:sz="4" w:space="0" w:color="auto"/>
            </w:tcBorders>
            <w:shd w:val="clear" w:color="auto" w:fill="D9D9D9" w:themeFill="background1" w:themeFillShade="D9"/>
            <w:vAlign w:val="center"/>
            <w:hideMark/>
          </w:tcPr>
          <w:p w:rsidR="000E4B30" w:rsidRPr="00190FD2" w:rsidRDefault="000E4B30" w:rsidP="00F34562">
            <w:pPr>
              <w:jc w:val="center"/>
              <w:rPr>
                <w:rFonts w:ascii="Arial Narrow" w:eastAsia="Times New Roman" w:hAnsi="Arial Narrow" w:cs="Arial"/>
                <w:b/>
                <w:color w:val="000000"/>
                <w:sz w:val="14"/>
                <w:szCs w:val="14"/>
                <w:lang w:eastAsia="es-MX"/>
              </w:rPr>
            </w:pPr>
            <w:r w:rsidRPr="00190FD2">
              <w:rPr>
                <w:rFonts w:ascii="Arial Narrow" w:eastAsia="Times New Roman" w:hAnsi="Arial Narrow" w:cs="Arial"/>
                <w:b/>
                <w:color w:val="000000"/>
                <w:sz w:val="14"/>
                <w:szCs w:val="14"/>
                <w:lang w:eastAsia="es-MX"/>
              </w:rPr>
              <w:t>$      4</w:t>
            </w:r>
            <w:r>
              <w:rPr>
                <w:rFonts w:ascii="Arial Narrow" w:eastAsia="Times New Roman" w:hAnsi="Arial Narrow" w:cs="Arial"/>
                <w:b/>
                <w:color w:val="000000"/>
                <w:sz w:val="14"/>
                <w:szCs w:val="14"/>
                <w:lang w:eastAsia="es-MX"/>
              </w:rPr>
              <w:t>5</w:t>
            </w:r>
            <w:r w:rsidRPr="00190FD2">
              <w:rPr>
                <w:rFonts w:ascii="Arial Narrow" w:eastAsia="Times New Roman" w:hAnsi="Arial Narrow" w:cs="Arial"/>
                <w:b/>
                <w:color w:val="000000"/>
                <w:sz w:val="14"/>
                <w:szCs w:val="14"/>
                <w:lang w:eastAsia="es-MX"/>
              </w:rPr>
              <w:t>,</w:t>
            </w:r>
            <w:r>
              <w:rPr>
                <w:rFonts w:ascii="Arial Narrow" w:eastAsia="Times New Roman" w:hAnsi="Arial Narrow" w:cs="Arial"/>
                <w:b/>
                <w:color w:val="000000"/>
                <w:sz w:val="14"/>
                <w:szCs w:val="14"/>
                <w:lang w:eastAsia="es-MX"/>
              </w:rPr>
              <w:t>46</w:t>
            </w:r>
            <w:r w:rsidRPr="00190FD2">
              <w:rPr>
                <w:rFonts w:ascii="Arial Narrow" w:eastAsia="Times New Roman" w:hAnsi="Arial Narrow" w:cs="Arial"/>
                <w:b/>
                <w:color w:val="000000"/>
                <w:sz w:val="14"/>
                <w:szCs w:val="14"/>
                <w:lang w:eastAsia="es-MX"/>
              </w:rPr>
              <w:t>3,</w:t>
            </w:r>
            <w:r>
              <w:rPr>
                <w:rFonts w:ascii="Arial Narrow" w:eastAsia="Times New Roman" w:hAnsi="Arial Narrow" w:cs="Arial"/>
                <w:b/>
                <w:color w:val="000000"/>
                <w:sz w:val="14"/>
                <w:szCs w:val="14"/>
                <w:lang w:eastAsia="es-MX"/>
              </w:rPr>
              <w:t>715</w:t>
            </w:r>
            <w:r w:rsidRPr="00190FD2">
              <w:rPr>
                <w:rFonts w:ascii="Arial Narrow" w:eastAsia="Times New Roman" w:hAnsi="Arial Narrow" w:cs="Arial"/>
                <w:b/>
                <w:color w:val="000000"/>
                <w:sz w:val="14"/>
                <w:szCs w:val="14"/>
                <w:lang w:eastAsia="es-MX"/>
              </w:rPr>
              <w:t>.00</w:t>
            </w:r>
          </w:p>
        </w:tc>
        <w:tc>
          <w:tcPr>
            <w:tcW w:w="588" w:type="pct"/>
            <w:tcBorders>
              <w:top w:val="nil"/>
              <w:left w:val="nil"/>
              <w:bottom w:val="single" w:sz="4" w:space="0" w:color="auto"/>
              <w:right w:val="single" w:sz="4" w:space="0" w:color="auto"/>
            </w:tcBorders>
            <w:shd w:val="clear" w:color="auto" w:fill="auto"/>
            <w:noWrap/>
            <w:vAlign w:val="center"/>
            <w:hideMark/>
          </w:tcPr>
          <w:p w:rsidR="000E4B30" w:rsidRPr="002D539D" w:rsidRDefault="000E4B30" w:rsidP="00F34562">
            <w:pPr>
              <w:jc w:val="center"/>
              <w:rPr>
                <w:rFonts w:ascii="Arial Narrow" w:eastAsia="Times New Roman" w:hAnsi="Arial Narrow" w:cs="Calibri"/>
                <w:color w:val="000000"/>
                <w:sz w:val="14"/>
                <w:szCs w:val="14"/>
                <w:lang w:eastAsia="es-MX"/>
              </w:rPr>
            </w:pP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color w:val="000000"/>
                <w:sz w:val="14"/>
                <w:szCs w:val="14"/>
                <w:lang w:eastAsia="es-MX"/>
              </w:rPr>
              <w:t xml:space="preserve">                -</w:t>
            </w:r>
          </w:p>
        </w:tc>
        <w:tc>
          <w:tcPr>
            <w:tcW w:w="294"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100.00</w:t>
            </w:r>
            <w:r w:rsidRPr="002D539D">
              <w:rPr>
                <w:rFonts w:ascii="Arial Narrow" w:eastAsia="Times New Roman" w:hAnsi="Arial Narrow" w:cs="Arial"/>
                <w:color w:val="000000"/>
                <w:sz w:val="14"/>
                <w:szCs w:val="14"/>
                <w:lang w:eastAsia="es-MX"/>
              </w:rPr>
              <w:t>%</w:t>
            </w:r>
          </w:p>
        </w:tc>
      </w:tr>
      <w:tr w:rsidR="000E4B30" w:rsidRPr="00C777C1" w:rsidTr="00F34562">
        <w:trPr>
          <w:trHeight w:val="290"/>
          <w:jc w:val="center"/>
        </w:trPr>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E4B30" w:rsidRPr="00C777C1" w:rsidRDefault="000E4B30" w:rsidP="00F34562">
            <w:pPr>
              <w:rPr>
                <w:rFonts w:ascii="Arial Narrow" w:eastAsia="Times New Roman" w:hAnsi="Arial Narrow" w:cs="Arial"/>
                <w:b/>
                <w:color w:val="000000"/>
                <w:sz w:val="14"/>
                <w:szCs w:val="20"/>
                <w:lang w:eastAsia="es-MX"/>
              </w:rPr>
            </w:pPr>
            <w:r w:rsidRPr="00C777C1">
              <w:rPr>
                <w:rFonts w:ascii="Arial Narrow" w:eastAsia="Times New Roman" w:hAnsi="Arial Narrow" w:cs="Arial"/>
                <w:b/>
                <w:color w:val="000000"/>
                <w:sz w:val="14"/>
                <w:szCs w:val="20"/>
                <w:lang w:eastAsia="es-MX"/>
              </w:rPr>
              <w:t>Recurso Estatal</w:t>
            </w:r>
          </w:p>
        </w:tc>
        <w:tc>
          <w:tcPr>
            <w:tcW w:w="719"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48,674,730.00</w:t>
            </w:r>
          </w:p>
        </w:tc>
        <w:tc>
          <w:tcPr>
            <w:tcW w:w="719"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xml:space="preserve">$   </w:t>
            </w:r>
            <w:r>
              <w:rPr>
                <w:rFonts w:ascii="Arial Narrow" w:eastAsia="Times New Roman" w:hAnsi="Arial Narrow" w:cs="Arial"/>
                <w:color w:val="000000"/>
                <w:sz w:val="14"/>
                <w:szCs w:val="14"/>
                <w:lang w:eastAsia="es-MX"/>
              </w:rPr>
              <w:t xml:space="preserve">                                    -</w:t>
            </w:r>
            <w:r w:rsidRPr="002D539D">
              <w:rPr>
                <w:rFonts w:ascii="Arial Narrow" w:eastAsia="Times New Roman" w:hAnsi="Arial Narrow" w:cs="Arial"/>
                <w:color w:val="000000"/>
                <w:sz w:val="14"/>
                <w:szCs w:val="14"/>
                <w:lang w:eastAsia="es-MX"/>
              </w:rPr>
              <w:t xml:space="preserve">  </w:t>
            </w:r>
            <w:r>
              <w:rPr>
                <w:rFonts w:ascii="Arial Narrow" w:eastAsia="Times New Roman" w:hAnsi="Arial Narrow" w:cs="Arial"/>
                <w:color w:val="000000"/>
                <w:sz w:val="14"/>
                <w:szCs w:val="14"/>
                <w:lang w:eastAsia="es-MX"/>
              </w:rPr>
              <w:t xml:space="preserve">            </w:t>
            </w:r>
            <w:r w:rsidRPr="002D539D">
              <w:rPr>
                <w:rFonts w:ascii="Arial Narrow" w:eastAsia="Times New Roman" w:hAnsi="Arial Narrow" w:cs="Arial"/>
                <w:color w:val="000000"/>
                <w:sz w:val="14"/>
                <w:szCs w:val="14"/>
                <w:lang w:eastAsia="es-MX"/>
              </w:rPr>
              <w:t xml:space="preserve"> </w:t>
            </w:r>
          </w:p>
        </w:tc>
        <w:tc>
          <w:tcPr>
            <w:tcW w:w="654"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             48,674,730.00</w:t>
            </w:r>
          </w:p>
        </w:tc>
        <w:tc>
          <w:tcPr>
            <w:tcW w:w="589"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sidRPr="002D539D">
              <w:rPr>
                <w:rFonts w:ascii="Arial Narrow" w:eastAsia="Times New Roman" w:hAnsi="Arial Narrow" w:cs="Arial"/>
                <w:color w:val="000000"/>
                <w:sz w:val="14"/>
                <w:szCs w:val="14"/>
                <w:lang w:eastAsia="es-MX"/>
              </w:rPr>
              <w:t>$</w:t>
            </w:r>
            <w:r>
              <w:rPr>
                <w:rFonts w:ascii="Arial Narrow" w:eastAsia="Times New Roman" w:hAnsi="Arial Narrow" w:cs="Arial"/>
                <w:color w:val="000000"/>
                <w:sz w:val="14"/>
                <w:szCs w:val="14"/>
                <w:lang w:eastAsia="es-MX"/>
              </w:rPr>
              <w:t xml:space="preserve">     </w:t>
            </w:r>
            <w:r w:rsidRPr="002D539D">
              <w:rPr>
                <w:rFonts w:ascii="Arial Narrow" w:eastAsia="Times New Roman" w:hAnsi="Arial Narrow" w:cs="Arial"/>
                <w:color w:val="000000"/>
                <w:sz w:val="14"/>
                <w:szCs w:val="14"/>
                <w:lang w:eastAsia="es-MX"/>
              </w:rPr>
              <w:t>48,674,730.00</w:t>
            </w:r>
          </w:p>
        </w:tc>
        <w:tc>
          <w:tcPr>
            <w:tcW w:w="589" w:type="pct"/>
            <w:tcBorders>
              <w:top w:val="nil"/>
              <w:left w:val="nil"/>
              <w:bottom w:val="single" w:sz="4" w:space="0" w:color="auto"/>
              <w:right w:val="single" w:sz="4" w:space="0" w:color="auto"/>
            </w:tcBorders>
            <w:shd w:val="clear" w:color="auto" w:fill="D9D9D9" w:themeFill="background1" w:themeFillShade="D9"/>
            <w:vAlign w:val="center"/>
            <w:hideMark/>
          </w:tcPr>
          <w:p w:rsidR="000E4B30" w:rsidRPr="00190FD2" w:rsidRDefault="000E4B30" w:rsidP="00F34562">
            <w:pPr>
              <w:jc w:val="center"/>
              <w:rPr>
                <w:rFonts w:ascii="Arial Narrow" w:eastAsia="Times New Roman" w:hAnsi="Arial Narrow" w:cs="Arial"/>
                <w:b/>
                <w:color w:val="000000"/>
                <w:sz w:val="14"/>
                <w:szCs w:val="14"/>
                <w:lang w:eastAsia="es-MX"/>
              </w:rPr>
            </w:pPr>
            <w:r w:rsidRPr="00190FD2">
              <w:rPr>
                <w:rFonts w:ascii="Arial Narrow" w:eastAsia="Times New Roman" w:hAnsi="Arial Narrow" w:cs="Arial"/>
                <w:b/>
                <w:color w:val="000000"/>
                <w:sz w:val="14"/>
                <w:szCs w:val="14"/>
                <w:lang w:eastAsia="es-MX"/>
              </w:rPr>
              <w:t xml:space="preserve">$     </w:t>
            </w:r>
            <w:r w:rsidRPr="00144274">
              <w:rPr>
                <w:rFonts w:ascii="Arial Narrow" w:eastAsia="Times New Roman" w:hAnsi="Arial Narrow" w:cs="Arial"/>
                <w:b/>
                <w:color w:val="000000"/>
                <w:sz w:val="14"/>
                <w:szCs w:val="14"/>
                <w:lang w:eastAsia="es-MX"/>
              </w:rPr>
              <w:t xml:space="preserve"> 48,674,730.00</w:t>
            </w:r>
          </w:p>
        </w:tc>
        <w:tc>
          <w:tcPr>
            <w:tcW w:w="588" w:type="pct"/>
            <w:tcBorders>
              <w:top w:val="nil"/>
              <w:left w:val="nil"/>
              <w:bottom w:val="single" w:sz="4" w:space="0" w:color="auto"/>
              <w:right w:val="single" w:sz="4" w:space="0" w:color="auto"/>
            </w:tcBorders>
            <w:shd w:val="clear" w:color="auto" w:fill="auto"/>
            <w:noWrap/>
            <w:vAlign w:val="center"/>
            <w:hideMark/>
          </w:tcPr>
          <w:p w:rsidR="000E4B30" w:rsidRPr="00347EA9" w:rsidRDefault="000E4B30" w:rsidP="00F34562">
            <w:pPr>
              <w:rPr>
                <w:rFonts w:ascii="Arial Narrow" w:eastAsia="Times New Roman" w:hAnsi="Arial Narrow" w:cs="Calibri"/>
                <w:color w:val="000000"/>
                <w:sz w:val="14"/>
                <w:szCs w:val="14"/>
                <w:lang w:eastAsia="es-MX"/>
              </w:rPr>
            </w:pPr>
            <w:r>
              <w:rPr>
                <w:rFonts w:ascii="Arial Narrow" w:eastAsia="Times New Roman" w:hAnsi="Arial Narrow" w:cs="Calibri"/>
                <w:color w:val="000000"/>
                <w:sz w:val="14"/>
                <w:szCs w:val="14"/>
                <w:lang w:eastAsia="es-MX"/>
              </w:rPr>
              <w:t xml:space="preserve">     </w:t>
            </w: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color w:val="000000"/>
                <w:sz w:val="14"/>
                <w:szCs w:val="14"/>
                <w:lang w:eastAsia="es-MX"/>
              </w:rPr>
              <w:t xml:space="preserve">                     </w:t>
            </w:r>
            <w:r>
              <w:rPr>
                <w:rFonts w:ascii="Arial Narrow" w:eastAsia="Times New Roman" w:hAnsi="Arial Narrow" w:cs="Calibri"/>
                <w:b/>
                <w:color w:val="000000"/>
                <w:sz w:val="14"/>
                <w:szCs w:val="14"/>
                <w:lang w:eastAsia="es-MX"/>
              </w:rPr>
              <w:t>-</w:t>
            </w:r>
          </w:p>
        </w:tc>
        <w:tc>
          <w:tcPr>
            <w:tcW w:w="294" w:type="pct"/>
            <w:tcBorders>
              <w:top w:val="nil"/>
              <w:left w:val="nil"/>
              <w:bottom w:val="single" w:sz="4" w:space="0" w:color="auto"/>
              <w:right w:val="single" w:sz="4" w:space="0" w:color="auto"/>
            </w:tcBorders>
            <w:shd w:val="clear" w:color="auto" w:fill="auto"/>
            <w:vAlign w:val="center"/>
            <w:hideMark/>
          </w:tcPr>
          <w:p w:rsidR="000E4B30" w:rsidRPr="002D539D"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100.00</w:t>
            </w:r>
            <w:r w:rsidRPr="002D539D">
              <w:rPr>
                <w:rFonts w:ascii="Arial Narrow" w:eastAsia="Times New Roman" w:hAnsi="Arial Narrow" w:cs="Arial"/>
                <w:color w:val="000000"/>
                <w:sz w:val="14"/>
                <w:szCs w:val="14"/>
                <w:lang w:eastAsia="es-MX"/>
              </w:rPr>
              <w:t>%</w:t>
            </w:r>
          </w:p>
        </w:tc>
      </w:tr>
      <w:tr w:rsidR="000E4B30" w:rsidRPr="00C777C1" w:rsidTr="00F34562">
        <w:trPr>
          <w:trHeight w:val="290"/>
          <w:jc w:val="center"/>
        </w:trPr>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4B30" w:rsidRPr="00C777C1" w:rsidRDefault="000E4B30" w:rsidP="00F34562">
            <w:pPr>
              <w:rPr>
                <w:rFonts w:ascii="Arial Narrow" w:eastAsia="Times New Roman" w:hAnsi="Arial Narrow" w:cs="Arial"/>
                <w:b/>
                <w:color w:val="000000"/>
                <w:sz w:val="14"/>
                <w:szCs w:val="20"/>
                <w:lang w:eastAsia="es-MX"/>
              </w:rPr>
            </w:pPr>
            <w:r>
              <w:rPr>
                <w:rFonts w:ascii="Arial Narrow" w:eastAsia="Times New Roman" w:hAnsi="Arial Narrow" w:cs="Arial"/>
                <w:b/>
                <w:color w:val="000000"/>
                <w:sz w:val="14"/>
                <w:szCs w:val="20"/>
                <w:lang w:eastAsia="es-MX"/>
              </w:rPr>
              <w:t>SECIHTI PDLL</w:t>
            </w:r>
          </w:p>
        </w:tc>
        <w:tc>
          <w:tcPr>
            <w:tcW w:w="719" w:type="pct"/>
            <w:tcBorders>
              <w:top w:val="nil"/>
              <w:left w:val="nil"/>
              <w:bottom w:val="single" w:sz="4" w:space="0" w:color="auto"/>
              <w:right w:val="single" w:sz="4" w:space="0" w:color="auto"/>
            </w:tcBorders>
            <w:shd w:val="clear" w:color="auto" w:fill="auto"/>
            <w:vAlign w:val="center"/>
          </w:tcPr>
          <w:p w:rsidR="000E4B30" w:rsidRPr="002D539D"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xml:space="preserve">$                                  -               </w:t>
            </w:r>
          </w:p>
        </w:tc>
        <w:tc>
          <w:tcPr>
            <w:tcW w:w="719" w:type="pct"/>
            <w:tcBorders>
              <w:top w:val="nil"/>
              <w:left w:val="nil"/>
              <w:bottom w:val="single" w:sz="4" w:space="0" w:color="auto"/>
              <w:right w:val="single" w:sz="4" w:space="0" w:color="auto"/>
            </w:tcBorders>
            <w:shd w:val="clear" w:color="auto" w:fill="auto"/>
            <w:vAlign w:val="center"/>
          </w:tcPr>
          <w:p w:rsidR="000E4B30" w:rsidRPr="002D539D" w:rsidRDefault="000E4B30" w:rsidP="00F34562">
            <w:pP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270,000.00</w:t>
            </w:r>
          </w:p>
        </w:tc>
        <w:tc>
          <w:tcPr>
            <w:tcW w:w="654" w:type="pct"/>
            <w:tcBorders>
              <w:top w:val="nil"/>
              <w:left w:val="nil"/>
              <w:bottom w:val="single" w:sz="4" w:space="0" w:color="auto"/>
              <w:right w:val="single" w:sz="4" w:space="0" w:color="auto"/>
            </w:tcBorders>
            <w:shd w:val="clear" w:color="auto" w:fill="auto"/>
            <w:vAlign w:val="center"/>
          </w:tcPr>
          <w:p w:rsidR="000E4B30" w:rsidRPr="002D539D"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270,000.00</w:t>
            </w:r>
          </w:p>
        </w:tc>
        <w:tc>
          <w:tcPr>
            <w:tcW w:w="589" w:type="pct"/>
            <w:tcBorders>
              <w:top w:val="nil"/>
              <w:left w:val="nil"/>
              <w:bottom w:val="single" w:sz="4" w:space="0" w:color="auto"/>
              <w:right w:val="single" w:sz="4" w:space="0" w:color="auto"/>
            </w:tcBorders>
            <w:shd w:val="clear" w:color="auto" w:fill="auto"/>
            <w:vAlign w:val="center"/>
          </w:tcPr>
          <w:p w:rsidR="000E4B30" w:rsidRPr="002D539D"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270,000.00</w:t>
            </w:r>
          </w:p>
        </w:tc>
        <w:tc>
          <w:tcPr>
            <w:tcW w:w="589" w:type="pct"/>
            <w:tcBorders>
              <w:top w:val="nil"/>
              <w:left w:val="nil"/>
              <w:bottom w:val="single" w:sz="4" w:space="0" w:color="auto"/>
              <w:right w:val="single" w:sz="4" w:space="0" w:color="auto"/>
            </w:tcBorders>
            <w:shd w:val="clear" w:color="auto" w:fill="D9D9D9" w:themeFill="background1" w:themeFillShade="D9"/>
            <w:vAlign w:val="center"/>
          </w:tcPr>
          <w:p w:rsidR="000E4B30" w:rsidRPr="00347EA9" w:rsidRDefault="000E4B30" w:rsidP="00F34562">
            <w:pPr>
              <w:jc w:val="center"/>
              <w:rPr>
                <w:rFonts w:ascii="Arial Narrow" w:eastAsia="Times New Roman" w:hAnsi="Arial Narrow" w:cs="Arial"/>
                <w:b/>
                <w:color w:val="000000"/>
                <w:sz w:val="14"/>
                <w:szCs w:val="14"/>
                <w:lang w:eastAsia="es-MX"/>
              </w:rPr>
            </w:pPr>
            <w:r w:rsidRPr="00347EA9">
              <w:rPr>
                <w:rFonts w:ascii="Arial Narrow" w:eastAsia="Times New Roman" w:hAnsi="Arial Narrow" w:cs="Arial"/>
                <w:b/>
                <w:color w:val="000000"/>
                <w:sz w:val="14"/>
                <w:szCs w:val="14"/>
                <w:lang w:eastAsia="es-MX"/>
              </w:rPr>
              <w:t>$              270,000.00</w:t>
            </w:r>
          </w:p>
        </w:tc>
        <w:tc>
          <w:tcPr>
            <w:tcW w:w="588" w:type="pct"/>
            <w:tcBorders>
              <w:top w:val="nil"/>
              <w:left w:val="nil"/>
              <w:bottom w:val="single" w:sz="4" w:space="0" w:color="auto"/>
              <w:right w:val="single" w:sz="4" w:space="0" w:color="auto"/>
            </w:tcBorders>
            <w:shd w:val="clear" w:color="auto" w:fill="auto"/>
            <w:noWrap/>
            <w:vAlign w:val="center"/>
          </w:tcPr>
          <w:p w:rsidR="000E4B30" w:rsidRPr="002D539D" w:rsidRDefault="000E4B30" w:rsidP="00F34562">
            <w:pPr>
              <w:jc w:val="center"/>
              <w:rPr>
                <w:rFonts w:ascii="Arial Narrow" w:eastAsia="Times New Roman" w:hAnsi="Arial Narrow" w:cs="Calibri"/>
                <w:color w:val="000000"/>
                <w:sz w:val="14"/>
                <w:szCs w:val="14"/>
                <w:lang w:eastAsia="es-MX"/>
              </w:rPr>
            </w:pP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color w:val="000000"/>
                <w:sz w:val="14"/>
                <w:szCs w:val="14"/>
                <w:lang w:eastAsia="es-MX"/>
              </w:rPr>
              <w:t xml:space="preserve">            </w:t>
            </w: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b/>
                <w:color w:val="000000"/>
                <w:sz w:val="14"/>
                <w:szCs w:val="14"/>
                <w:lang w:eastAsia="es-MX"/>
              </w:rPr>
              <w:t>-</w:t>
            </w:r>
          </w:p>
        </w:tc>
        <w:tc>
          <w:tcPr>
            <w:tcW w:w="294"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100.00%</w:t>
            </w:r>
          </w:p>
        </w:tc>
      </w:tr>
      <w:tr w:rsidR="000E4B30" w:rsidRPr="00C777C1" w:rsidTr="00F34562">
        <w:trPr>
          <w:trHeight w:val="290"/>
          <w:jc w:val="center"/>
        </w:trPr>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4B30" w:rsidRDefault="000E4B30" w:rsidP="00F34562">
            <w:pPr>
              <w:rPr>
                <w:rFonts w:ascii="Arial Narrow" w:eastAsia="Times New Roman" w:hAnsi="Arial Narrow" w:cs="Arial"/>
                <w:b/>
                <w:color w:val="000000"/>
                <w:sz w:val="14"/>
                <w:szCs w:val="20"/>
                <w:lang w:eastAsia="es-MX"/>
              </w:rPr>
            </w:pPr>
            <w:r>
              <w:rPr>
                <w:rFonts w:ascii="Arial Narrow" w:eastAsia="Times New Roman" w:hAnsi="Arial Narrow" w:cs="Arial"/>
                <w:b/>
                <w:color w:val="000000"/>
                <w:sz w:val="14"/>
                <w:szCs w:val="20"/>
                <w:lang w:eastAsia="es-MX"/>
              </w:rPr>
              <w:t>ICTI DELFÍN 2025</w:t>
            </w:r>
          </w:p>
        </w:tc>
        <w:tc>
          <w:tcPr>
            <w:tcW w:w="719"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xml:space="preserve">$                                  -               </w:t>
            </w:r>
          </w:p>
        </w:tc>
        <w:tc>
          <w:tcPr>
            <w:tcW w:w="719" w:type="pct"/>
            <w:tcBorders>
              <w:top w:val="nil"/>
              <w:left w:val="nil"/>
              <w:bottom w:val="single" w:sz="4" w:space="0" w:color="auto"/>
              <w:right w:val="single" w:sz="4" w:space="0" w:color="auto"/>
            </w:tcBorders>
            <w:shd w:val="clear" w:color="auto" w:fill="auto"/>
            <w:vAlign w:val="center"/>
          </w:tcPr>
          <w:p w:rsidR="000E4B30" w:rsidRDefault="000E4B30" w:rsidP="00F34562">
            <w:pP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134,800.00</w:t>
            </w:r>
          </w:p>
        </w:tc>
        <w:tc>
          <w:tcPr>
            <w:tcW w:w="654"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134,800.00</w:t>
            </w:r>
          </w:p>
        </w:tc>
        <w:tc>
          <w:tcPr>
            <w:tcW w:w="589"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134,800.00</w:t>
            </w:r>
          </w:p>
        </w:tc>
        <w:tc>
          <w:tcPr>
            <w:tcW w:w="589" w:type="pct"/>
            <w:tcBorders>
              <w:top w:val="nil"/>
              <w:left w:val="nil"/>
              <w:bottom w:val="single" w:sz="4" w:space="0" w:color="auto"/>
              <w:right w:val="single" w:sz="4" w:space="0" w:color="auto"/>
            </w:tcBorders>
            <w:shd w:val="clear" w:color="auto" w:fill="D9D9D9" w:themeFill="background1" w:themeFillShade="D9"/>
            <w:vAlign w:val="center"/>
          </w:tcPr>
          <w:p w:rsidR="000E4B30" w:rsidRPr="00347EA9" w:rsidRDefault="000E4B30" w:rsidP="00F34562">
            <w:pPr>
              <w:jc w:val="center"/>
              <w:rPr>
                <w:rFonts w:ascii="Arial Narrow" w:eastAsia="Times New Roman" w:hAnsi="Arial Narrow" w:cs="Arial"/>
                <w:b/>
                <w:color w:val="000000"/>
                <w:sz w:val="14"/>
                <w:szCs w:val="14"/>
                <w:lang w:eastAsia="es-MX"/>
              </w:rPr>
            </w:pPr>
            <w:r w:rsidRPr="00347EA9">
              <w:rPr>
                <w:rFonts w:ascii="Arial Narrow" w:eastAsia="Times New Roman" w:hAnsi="Arial Narrow" w:cs="Arial"/>
                <w:b/>
                <w:color w:val="000000"/>
                <w:sz w:val="14"/>
                <w:szCs w:val="14"/>
                <w:lang w:eastAsia="es-MX"/>
              </w:rPr>
              <w:t>$               134,800.00</w:t>
            </w:r>
          </w:p>
        </w:tc>
        <w:tc>
          <w:tcPr>
            <w:tcW w:w="588" w:type="pct"/>
            <w:tcBorders>
              <w:top w:val="nil"/>
              <w:left w:val="nil"/>
              <w:bottom w:val="single" w:sz="4" w:space="0" w:color="auto"/>
              <w:right w:val="single" w:sz="4" w:space="0" w:color="auto"/>
            </w:tcBorders>
            <w:shd w:val="clear" w:color="auto" w:fill="auto"/>
            <w:noWrap/>
            <w:vAlign w:val="center"/>
          </w:tcPr>
          <w:p w:rsidR="000E4B30" w:rsidRPr="002D539D" w:rsidRDefault="000E4B30" w:rsidP="00F34562">
            <w:pPr>
              <w:jc w:val="center"/>
              <w:rPr>
                <w:rFonts w:ascii="Arial Narrow" w:eastAsia="Times New Roman" w:hAnsi="Arial Narrow" w:cs="Calibri"/>
                <w:color w:val="000000"/>
                <w:sz w:val="14"/>
                <w:szCs w:val="14"/>
                <w:lang w:eastAsia="es-MX"/>
              </w:rPr>
            </w:pP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color w:val="000000"/>
                <w:sz w:val="14"/>
                <w:szCs w:val="14"/>
                <w:lang w:eastAsia="es-MX"/>
              </w:rPr>
              <w:t xml:space="preserve">            </w:t>
            </w: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b/>
                <w:color w:val="000000"/>
                <w:sz w:val="14"/>
                <w:szCs w:val="14"/>
                <w:lang w:eastAsia="es-MX"/>
              </w:rPr>
              <w:t>-</w:t>
            </w:r>
          </w:p>
        </w:tc>
        <w:tc>
          <w:tcPr>
            <w:tcW w:w="294"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100.00%</w:t>
            </w:r>
          </w:p>
        </w:tc>
      </w:tr>
      <w:tr w:rsidR="000E4B30" w:rsidRPr="00C777C1" w:rsidTr="00F34562">
        <w:trPr>
          <w:trHeight w:val="290"/>
          <w:jc w:val="center"/>
        </w:trPr>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4B30" w:rsidRDefault="000E4B30" w:rsidP="00F34562">
            <w:pPr>
              <w:rPr>
                <w:rFonts w:ascii="Arial Narrow" w:eastAsia="Times New Roman" w:hAnsi="Arial Narrow" w:cs="Arial"/>
                <w:b/>
                <w:color w:val="000000"/>
                <w:sz w:val="14"/>
                <w:szCs w:val="20"/>
                <w:lang w:eastAsia="es-MX"/>
              </w:rPr>
            </w:pPr>
            <w:r>
              <w:rPr>
                <w:rFonts w:ascii="Arial Narrow" w:eastAsia="Times New Roman" w:hAnsi="Arial Narrow" w:cs="Arial"/>
                <w:b/>
                <w:color w:val="000000"/>
                <w:sz w:val="14"/>
                <w:szCs w:val="20"/>
                <w:lang w:eastAsia="es-MX"/>
              </w:rPr>
              <w:t>PRODEP</w:t>
            </w:r>
          </w:p>
        </w:tc>
        <w:tc>
          <w:tcPr>
            <w:tcW w:w="719"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xml:space="preserve">$                                  -               </w:t>
            </w:r>
          </w:p>
        </w:tc>
        <w:tc>
          <w:tcPr>
            <w:tcW w:w="719" w:type="pct"/>
            <w:tcBorders>
              <w:top w:val="nil"/>
              <w:left w:val="nil"/>
              <w:bottom w:val="single" w:sz="4" w:space="0" w:color="auto"/>
              <w:right w:val="single" w:sz="4" w:space="0" w:color="auto"/>
            </w:tcBorders>
            <w:shd w:val="clear" w:color="auto" w:fill="auto"/>
            <w:vAlign w:val="center"/>
          </w:tcPr>
          <w:p w:rsidR="000E4B30" w:rsidRDefault="000E4B30" w:rsidP="00F34562">
            <w:pP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26,247.00</w:t>
            </w:r>
          </w:p>
        </w:tc>
        <w:tc>
          <w:tcPr>
            <w:tcW w:w="654"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26,247.00</w:t>
            </w:r>
          </w:p>
        </w:tc>
        <w:tc>
          <w:tcPr>
            <w:tcW w:w="589"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26,247.00</w:t>
            </w:r>
          </w:p>
        </w:tc>
        <w:tc>
          <w:tcPr>
            <w:tcW w:w="589" w:type="pct"/>
            <w:tcBorders>
              <w:top w:val="nil"/>
              <w:left w:val="nil"/>
              <w:bottom w:val="single" w:sz="4" w:space="0" w:color="auto"/>
              <w:right w:val="single" w:sz="4" w:space="0" w:color="auto"/>
            </w:tcBorders>
            <w:shd w:val="clear" w:color="auto" w:fill="D9D9D9" w:themeFill="background1" w:themeFillShade="D9"/>
            <w:vAlign w:val="center"/>
          </w:tcPr>
          <w:p w:rsidR="000E4B30" w:rsidRPr="00190FD2" w:rsidRDefault="000E4B30" w:rsidP="00F34562">
            <w:pPr>
              <w:jc w:val="center"/>
              <w:rPr>
                <w:rFonts w:ascii="Arial Narrow" w:eastAsia="Times New Roman" w:hAnsi="Arial Narrow" w:cs="Arial"/>
                <w:b/>
                <w:color w:val="000000"/>
                <w:sz w:val="14"/>
                <w:szCs w:val="14"/>
                <w:lang w:eastAsia="es-MX"/>
              </w:rPr>
            </w:pPr>
            <w:r w:rsidRPr="00190FD2">
              <w:rPr>
                <w:rFonts w:ascii="Arial Narrow" w:eastAsia="Times New Roman" w:hAnsi="Arial Narrow" w:cs="Arial"/>
                <w:b/>
                <w:color w:val="000000"/>
                <w:sz w:val="14"/>
                <w:szCs w:val="14"/>
                <w:lang w:eastAsia="es-MX"/>
              </w:rPr>
              <w:t xml:space="preserve">$      </w:t>
            </w:r>
            <w:r>
              <w:rPr>
                <w:rFonts w:ascii="Arial Narrow" w:eastAsia="Times New Roman" w:hAnsi="Arial Narrow" w:cs="Arial"/>
                <w:b/>
                <w:color w:val="000000"/>
                <w:sz w:val="14"/>
                <w:szCs w:val="14"/>
                <w:lang w:eastAsia="es-MX"/>
              </w:rPr>
              <w:t xml:space="preserve">     </w:t>
            </w:r>
            <w:r w:rsidRPr="00190FD2">
              <w:rPr>
                <w:rFonts w:ascii="Arial Narrow" w:eastAsia="Times New Roman" w:hAnsi="Arial Narrow" w:cs="Arial"/>
                <w:b/>
                <w:color w:val="000000"/>
                <w:sz w:val="14"/>
                <w:szCs w:val="14"/>
                <w:lang w:eastAsia="es-MX"/>
              </w:rPr>
              <w:t xml:space="preserve">      26,247.00</w:t>
            </w:r>
          </w:p>
        </w:tc>
        <w:tc>
          <w:tcPr>
            <w:tcW w:w="588" w:type="pct"/>
            <w:tcBorders>
              <w:top w:val="nil"/>
              <w:left w:val="nil"/>
              <w:bottom w:val="single" w:sz="4" w:space="0" w:color="auto"/>
              <w:right w:val="single" w:sz="4" w:space="0" w:color="auto"/>
            </w:tcBorders>
            <w:shd w:val="clear" w:color="auto" w:fill="auto"/>
            <w:noWrap/>
            <w:vAlign w:val="center"/>
          </w:tcPr>
          <w:p w:rsidR="000E4B30" w:rsidRPr="002D539D" w:rsidRDefault="000E4B30" w:rsidP="00F34562">
            <w:pPr>
              <w:jc w:val="center"/>
              <w:rPr>
                <w:rFonts w:ascii="Arial Narrow" w:eastAsia="Times New Roman" w:hAnsi="Arial Narrow" w:cs="Calibri"/>
                <w:color w:val="000000"/>
                <w:sz w:val="14"/>
                <w:szCs w:val="14"/>
                <w:lang w:eastAsia="es-MX"/>
              </w:rPr>
            </w:pP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color w:val="000000"/>
                <w:sz w:val="14"/>
                <w:szCs w:val="14"/>
                <w:lang w:eastAsia="es-MX"/>
              </w:rPr>
              <w:t xml:space="preserve">            </w:t>
            </w: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b/>
                <w:color w:val="000000"/>
                <w:sz w:val="14"/>
                <w:szCs w:val="14"/>
                <w:lang w:eastAsia="es-MX"/>
              </w:rPr>
              <w:t>-</w:t>
            </w:r>
          </w:p>
        </w:tc>
        <w:tc>
          <w:tcPr>
            <w:tcW w:w="294"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100.00%</w:t>
            </w:r>
          </w:p>
        </w:tc>
      </w:tr>
      <w:tr w:rsidR="000E4B30" w:rsidRPr="00C777C1" w:rsidTr="00F34562">
        <w:trPr>
          <w:trHeight w:val="290"/>
          <w:jc w:val="center"/>
        </w:trPr>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4B30" w:rsidRDefault="000E4B30" w:rsidP="00F34562">
            <w:pPr>
              <w:rPr>
                <w:rFonts w:ascii="Arial Narrow" w:eastAsia="Times New Roman" w:hAnsi="Arial Narrow" w:cs="Arial"/>
                <w:b/>
                <w:color w:val="000000"/>
                <w:sz w:val="14"/>
                <w:szCs w:val="20"/>
                <w:lang w:eastAsia="es-MX"/>
              </w:rPr>
            </w:pPr>
            <w:r>
              <w:rPr>
                <w:rFonts w:ascii="Arial Narrow" w:eastAsia="Times New Roman" w:hAnsi="Arial Narrow" w:cs="Arial"/>
                <w:b/>
                <w:color w:val="000000"/>
                <w:sz w:val="14"/>
                <w:szCs w:val="20"/>
                <w:lang w:eastAsia="es-MX"/>
              </w:rPr>
              <w:t>SECIHTI OERB</w:t>
            </w:r>
          </w:p>
        </w:tc>
        <w:tc>
          <w:tcPr>
            <w:tcW w:w="719"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w:t>
            </w:r>
          </w:p>
        </w:tc>
        <w:tc>
          <w:tcPr>
            <w:tcW w:w="719" w:type="pct"/>
            <w:tcBorders>
              <w:top w:val="nil"/>
              <w:left w:val="nil"/>
              <w:bottom w:val="single" w:sz="4" w:space="0" w:color="auto"/>
              <w:right w:val="single" w:sz="4" w:space="0" w:color="auto"/>
            </w:tcBorders>
            <w:shd w:val="clear" w:color="auto" w:fill="auto"/>
            <w:vAlign w:val="center"/>
          </w:tcPr>
          <w:p w:rsidR="000E4B30" w:rsidRDefault="000E4B30" w:rsidP="00F34562">
            <w:pP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200,000.00</w:t>
            </w:r>
          </w:p>
        </w:tc>
        <w:tc>
          <w:tcPr>
            <w:tcW w:w="654"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200,000.00</w:t>
            </w:r>
          </w:p>
        </w:tc>
        <w:tc>
          <w:tcPr>
            <w:tcW w:w="589"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            200,000.00</w:t>
            </w:r>
          </w:p>
        </w:tc>
        <w:tc>
          <w:tcPr>
            <w:tcW w:w="589" w:type="pct"/>
            <w:tcBorders>
              <w:top w:val="nil"/>
              <w:left w:val="nil"/>
              <w:bottom w:val="single" w:sz="4" w:space="0" w:color="auto"/>
              <w:right w:val="single" w:sz="4" w:space="0" w:color="auto"/>
            </w:tcBorders>
            <w:shd w:val="clear" w:color="auto" w:fill="D9D9D9" w:themeFill="background1" w:themeFillShade="D9"/>
            <w:vAlign w:val="center"/>
          </w:tcPr>
          <w:p w:rsidR="000E4B30" w:rsidRPr="00190FD2" w:rsidRDefault="000E4B30" w:rsidP="00F34562">
            <w:pPr>
              <w:jc w:val="center"/>
              <w:rPr>
                <w:rFonts w:ascii="Arial Narrow" w:eastAsia="Times New Roman" w:hAnsi="Arial Narrow" w:cs="Arial"/>
                <w:b/>
                <w:color w:val="000000"/>
                <w:sz w:val="14"/>
                <w:szCs w:val="14"/>
                <w:lang w:eastAsia="es-MX"/>
              </w:rPr>
            </w:pPr>
            <w:r>
              <w:rPr>
                <w:rFonts w:ascii="Arial Narrow" w:eastAsia="Times New Roman" w:hAnsi="Arial Narrow" w:cs="Arial"/>
                <w:color w:val="000000"/>
                <w:sz w:val="14"/>
                <w:szCs w:val="14"/>
                <w:lang w:eastAsia="es-MX"/>
              </w:rPr>
              <w:t>$            200,000.00</w:t>
            </w:r>
          </w:p>
        </w:tc>
        <w:tc>
          <w:tcPr>
            <w:tcW w:w="588" w:type="pct"/>
            <w:tcBorders>
              <w:top w:val="nil"/>
              <w:left w:val="nil"/>
              <w:bottom w:val="single" w:sz="4" w:space="0" w:color="auto"/>
              <w:right w:val="single" w:sz="4" w:space="0" w:color="auto"/>
            </w:tcBorders>
            <w:shd w:val="clear" w:color="auto" w:fill="auto"/>
            <w:noWrap/>
            <w:vAlign w:val="center"/>
          </w:tcPr>
          <w:p w:rsidR="000E4B30" w:rsidRPr="002D539D" w:rsidRDefault="000E4B30" w:rsidP="00F34562">
            <w:pPr>
              <w:jc w:val="center"/>
              <w:rPr>
                <w:rFonts w:ascii="Arial Narrow" w:eastAsia="Times New Roman" w:hAnsi="Arial Narrow" w:cs="Calibri"/>
                <w:color w:val="000000"/>
                <w:sz w:val="14"/>
                <w:szCs w:val="14"/>
                <w:lang w:eastAsia="es-MX"/>
              </w:rPr>
            </w:pP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color w:val="000000"/>
                <w:sz w:val="14"/>
                <w:szCs w:val="14"/>
                <w:lang w:eastAsia="es-MX"/>
              </w:rPr>
              <w:t xml:space="preserve">            </w:t>
            </w:r>
            <w:r w:rsidRPr="002D539D">
              <w:rPr>
                <w:rFonts w:ascii="Arial Narrow" w:eastAsia="Times New Roman" w:hAnsi="Arial Narrow" w:cs="Calibri"/>
                <w:color w:val="000000"/>
                <w:sz w:val="14"/>
                <w:szCs w:val="14"/>
                <w:lang w:eastAsia="es-MX"/>
              </w:rPr>
              <w:t xml:space="preserve">          </w:t>
            </w:r>
            <w:r>
              <w:rPr>
                <w:rFonts w:ascii="Arial Narrow" w:eastAsia="Times New Roman" w:hAnsi="Arial Narrow" w:cs="Calibri"/>
                <w:b/>
                <w:color w:val="000000"/>
                <w:sz w:val="14"/>
                <w:szCs w:val="14"/>
                <w:lang w:eastAsia="es-MX"/>
              </w:rPr>
              <w:t>-</w:t>
            </w:r>
          </w:p>
        </w:tc>
        <w:tc>
          <w:tcPr>
            <w:tcW w:w="294" w:type="pct"/>
            <w:tcBorders>
              <w:top w:val="nil"/>
              <w:left w:val="nil"/>
              <w:bottom w:val="single" w:sz="4" w:space="0" w:color="auto"/>
              <w:right w:val="single" w:sz="4" w:space="0" w:color="auto"/>
            </w:tcBorders>
            <w:shd w:val="clear" w:color="auto" w:fill="auto"/>
            <w:vAlign w:val="center"/>
          </w:tcPr>
          <w:p w:rsidR="000E4B30" w:rsidRDefault="000E4B30" w:rsidP="00F34562">
            <w:pPr>
              <w:jc w:val="center"/>
              <w:rPr>
                <w:rFonts w:ascii="Arial Narrow" w:eastAsia="Times New Roman" w:hAnsi="Arial Narrow" w:cs="Arial"/>
                <w:color w:val="000000"/>
                <w:sz w:val="14"/>
                <w:szCs w:val="14"/>
                <w:lang w:eastAsia="es-MX"/>
              </w:rPr>
            </w:pPr>
            <w:r>
              <w:rPr>
                <w:rFonts w:ascii="Arial Narrow" w:eastAsia="Times New Roman" w:hAnsi="Arial Narrow" w:cs="Arial"/>
                <w:color w:val="000000"/>
                <w:sz w:val="14"/>
                <w:szCs w:val="14"/>
                <w:lang w:eastAsia="es-MX"/>
              </w:rPr>
              <w:t>1000.00%</w:t>
            </w:r>
          </w:p>
        </w:tc>
      </w:tr>
      <w:tr w:rsidR="000E4B30" w:rsidRPr="00C777C1" w:rsidTr="00F34562">
        <w:trPr>
          <w:trHeight w:val="290"/>
          <w:jc w:val="center"/>
        </w:trPr>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B30" w:rsidRPr="00C777C1" w:rsidRDefault="000E4B30" w:rsidP="00F34562">
            <w:pPr>
              <w:jc w:val="right"/>
              <w:rPr>
                <w:rFonts w:ascii="Arial Narrow" w:eastAsia="Times New Roman" w:hAnsi="Arial Narrow" w:cs="Arial"/>
                <w:b/>
                <w:bCs/>
                <w:color w:val="000000"/>
                <w:sz w:val="14"/>
                <w:szCs w:val="22"/>
                <w:lang w:eastAsia="es-MX"/>
              </w:rPr>
            </w:pPr>
            <w:r w:rsidRPr="00094323">
              <w:rPr>
                <w:rFonts w:ascii="Arial Narrow" w:eastAsia="Times New Roman" w:hAnsi="Arial Narrow" w:cs="Arial"/>
                <w:b/>
                <w:bCs/>
                <w:color w:val="000000"/>
                <w:sz w:val="20"/>
                <w:szCs w:val="22"/>
                <w:lang w:eastAsia="es-MX"/>
              </w:rPr>
              <w:t>Totales:</w:t>
            </w:r>
          </w:p>
        </w:tc>
        <w:tc>
          <w:tcPr>
            <w:tcW w:w="719" w:type="pct"/>
            <w:tcBorders>
              <w:top w:val="nil"/>
              <w:left w:val="nil"/>
              <w:bottom w:val="single" w:sz="4" w:space="0" w:color="auto"/>
              <w:right w:val="single" w:sz="4" w:space="0" w:color="auto"/>
            </w:tcBorders>
            <w:shd w:val="clear" w:color="auto" w:fill="auto"/>
            <w:noWrap/>
            <w:vAlign w:val="center"/>
            <w:hideMark/>
          </w:tcPr>
          <w:p w:rsidR="000E4B30" w:rsidRPr="002D539D" w:rsidRDefault="000E4B30" w:rsidP="00F34562">
            <w:pPr>
              <w:jc w:val="center"/>
              <w:rPr>
                <w:rFonts w:ascii="Arial Narrow" w:eastAsia="Times New Roman" w:hAnsi="Arial Narrow" w:cs="Calibri"/>
                <w:b/>
                <w:bCs/>
                <w:color w:val="000000"/>
                <w:sz w:val="14"/>
                <w:szCs w:val="14"/>
                <w:lang w:eastAsia="es-MX"/>
              </w:rPr>
            </w:pPr>
            <w:r w:rsidRPr="002D539D">
              <w:rPr>
                <w:rFonts w:ascii="Arial Narrow" w:eastAsia="Times New Roman" w:hAnsi="Arial Narrow" w:cs="Calibri"/>
                <w:b/>
                <w:bCs/>
                <w:color w:val="000000"/>
                <w:sz w:val="14"/>
                <w:szCs w:val="14"/>
                <w:lang w:eastAsia="es-MX"/>
              </w:rPr>
              <w:t>$               98,084,505.00</w:t>
            </w:r>
          </w:p>
        </w:tc>
        <w:tc>
          <w:tcPr>
            <w:tcW w:w="719" w:type="pct"/>
            <w:tcBorders>
              <w:top w:val="nil"/>
              <w:left w:val="nil"/>
              <w:bottom w:val="single" w:sz="4" w:space="0" w:color="auto"/>
              <w:right w:val="single" w:sz="4" w:space="0" w:color="auto"/>
            </w:tcBorders>
            <w:shd w:val="clear" w:color="auto" w:fill="auto"/>
            <w:noWrap/>
            <w:vAlign w:val="center"/>
            <w:hideMark/>
          </w:tcPr>
          <w:p w:rsidR="000E4B30" w:rsidRPr="002D539D" w:rsidRDefault="000E4B30" w:rsidP="00F34562">
            <w:pPr>
              <w:jc w:val="center"/>
              <w:rPr>
                <w:rFonts w:ascii="Arial Narrow" w:eastAsia="Times New Roman" w:hAnsi="Arial Narrow" w:cs="Calibri"/>
                <w:b/>
                <w:bCs/>
                <w:color w:val="000000"/>
                <w:sz w:val="14"/>
                <w:szCs w:val="14"/>
                <w:lang w:eastAsia="es-MX"/>
              </w:rPr>
            </w:pPr>
            <w:r w:rsidRPr="002D539D">
              <w:rPr>
                <w:rFonts w:ascii="Arial Narrow" w:eastAsia="Times New Roman" w:hAnsi="Arial Narrow" w:cs="Calibri"/>
                <w:b/>
                <w:bCs/>
                <w:color w:val="000000"/>
                <w:sz w:val="14"/>
                <w:szCs w:val="14"/>
                <w:lang w:eastAsia="es-MX"/>
              </w:rPr>
              <w:t xml:space="preserve">$             </w:t>
            </w:r>
            <w:r>
              <w:rPr>
                <w:rFonts w:ascii="Arial Narrow" w:eastAsia="Times New Roman" w:hAnsi="Arial Narrow" w:cs="Calibri"/>
                <w:b/>
                <w:bCs/>
                <w:color w:val="000000"/>
                <w:sz w:val="14"/>
                <w:szCs w:val="14"/>
                <w:lang w:eastAsia="es-MX"/>
              </w:rPr>
              <w:t>11,446,558.98</w:t>
            </w:r>
          </w:p>
        </w:tc>
        <w:tc>
          <w:tcPr>
            <w:tcW w:w="654" w:type="pct"/>
            <w:tcBorders>
              <w:top w:val="nil"/>
              <w:left w:val="nil"/>
              <w:bottom w:val="single" w:sz="4" w:space="0" w:color="auto"/>
              <w:right w:val="single" w:sz="4" w:space="0" w:color="auto"/>
            </w:tcBorders>
            <w:shd w:val="clear" w:color="auto" w:fill="auto"/>
            <w:noWrap/>
            <w:vAlign w:val="center"/>
            <w:hideMark/>
          </w:tcPr>
          <w:p w:rsidR="000E4B30" w:rsidRPr="002D539D" w:rsidRDefault="000E4B30" w:rsidP="00F34562">
            <w:pPr>
              <w:jc w:val="center"/>
              <w:rPr>
                <w:rFonts w:ascii="Arial Narrow" w:eastAsia="Times New Roman" w:hAnsi="Arial Narrow" w:cs="Calibri"/>
                <w:b/>
                <w:bCs/>
                <w:color w:val="000000"/>
                <w:sz w:val="14"/>
                <w:szCs w:val="14"/>
                <w:lang w:eastAsia="es-MX"/>
              </w:rPr>
            </w:pPr>
            <w:r w:rsidRPr="002D539D">
              <w:rPr>
                <w:rFonts w:ascii="Arial Narrow" w:eastAsia="Times New Roman" w:hAnsi="Arial Narrow" w:cs="Calibri"/>
                <w:b/>
                <w:bCs/>
                <w:color w:val="000000"/>
                <w:sz w:val="14"/>
                <w:szCs w:val="14"/>
                <w:lang w:eastAsia="es-MX"/>
              </w:rPr>
              <w:t xml:space="preserve">$          </w:t>
            </w:r>
            <w:r>
              <w:rPr>
                <w:rFonts w:ascii="Arial Narrow" w:eastAsia="Times New Roman" w:hAnsi="Arial Narrow" w:cs="Calibri"/>
                <w:b/>
                <w:bCs/>
                <w:color w:val="000000"/>
                <w:sz w:val="14"/>
                <w:szCs w:val="14"/>
                <w:lang w:eastAsia="es-MX"/>
              </w:rPr>
              <w:t xml:space="preserve">  109,531,063.98</w:t>
            </w:r>
          </w:p>
        </w:tc>
        <w:tc>
          <w:tcPr>
            <w:tcW w:w="589" w:type="pct"/>
            <w:tcBorders>
              <w:top w:val="nil"/>
              <w:left w:val="nil"/>
              <w:bottom w:val="single" w:sz="4" w:space="0" w:color="auto"/>
              <w:right w:val="single" w:sz="4" w:space="0" w:color="auto"/>
            </w:tcBorders>
            <w:shd w:val="clear" w:color="auto" w:fill="auto"/>
            <w:noWrap/>
            <w:vAlign w:val="center"/>
            <w:hideMark/>
          </w:tcPr>
          <w:p w:rsidR="000E4B30" w:rsidRPr="002D539D" w:rsidRDefault="000E4B30" w:rsidP="00F34562">
            <w:pPr>
              <w:jc w:val="center"/>
              <w:rPr>
                <w:rFonts w:ascii="Arial Narrow" w:eastAsia="Times New Roman" w:hAnsi="Arial Narrow" w:cs="Calibri"/>
                <w:b/>
                <w:bCs/>
                <w:color w:val="000000"/>
                <w:sz w:val="14"/>
                <w:szCs w:val="14"/>
                <w:lang w:eastAsia="es-MX"/>
              </w:rPr>
            </w:pPr>
            <w:r w:rsidRPr="002D539D">
              <w:rPr>
                <w:rFonts w:ascii="Arial Narrow" w:eastAsia="Times New Roman" w:hAnsi="Arial Narrow" w:cs="Calibri"/>
                <w:b/>
                <w:bCs/>
                <w:color w:val="000000"/>
                <w:sz w:val="14"/>
                <w:szCs w:val="14"/>
                <w:lang w:eastAsia="es-MX"/>
              </w:rPr>
              <w:t xml:space="preserve">$      </w:t>
            </w:r>
            <w:r>
              <w:rPr>
                <w:rFonts w:ascii="Arial Narrow" w:eastAsia="Times New Roman" w:hAnsi="Arial Narrow" w:cs="Calibri"/>
                <w:b/>
                <w:bCs/>
                <w:color w:val="000000"/>
                <w:sz w:val="14"/>
                <w:szCs w:val="14"/>
                <w:lang w:eastAsia="es-MX"/>
              </w:rPr>
              <w:t>107,205,995.81</w:t>
            </w:r>
          </w:p>
        </w:tc>
        <w:tc>
          <w:tcPr>
            <w:tcW w:w="589" w:type="pct"/>
            <w:tcBorders>
              <w:top w:val="nil"/>
              <w:left w:val="nil"/>
              <w:bottom w:val="single" w:sz="4" w:space="0" w:color="auto"/>
              <w:right w:val="single" w:sz="4" w:space="0" w:color="auto"/>
            </w:tcBorders>
            <w:shd w:val="clear" w:color="auto" w:fill="auto"/>
            <w:noWrap/>
            <w:vAlign w:val="center"/>
            <w:hideMark/>
          </w:tcPr>
          <w:p w:rsidR="000E4B30" w:rsidRPr="00347EA9" w:rsidRDefault="000E4B30" w:rsidP="00F34562">
            <w:pPr>
              <w:jc w:val="center"/>
              <w:rPr>
                <w:rFonts w:ascii="Arial Narrow" w:eastAsia="Times New Roman" w:hAnsi="Arial Narrow" w:cs="Calibri"/>
                <w:b/>
                <w:bCs/>
                <w:color w:val="000000"/>
                <w:sz w:val="14"/>
                <w:szCs w:val="14"/>
                <w:lang w:eastAsia="es-MX"/>
              </w:rPr>
            </w:pPr>
            <w:r w:rsidRPr="00347EA9">
              <w:rPr>
                <w:rFonts w:ascii="Arial Narrow" w:eastAsia="Times New Roman" w:hAnsi="Arial Narrow" w:cs="Calibri"/>
                <w:b/>
                <w:bCs/>
                <w:color w:val="000000"/>
                <w:sz w:val="14"/>
                <w:szCs w:val="14"/>
                <w:lang w:eastAsia="es-MX"/>
              </w:rPr>
              <w:t xml:space="preserve">$         </w:t>
            </w:r>
            <w:r>
              <w:rPr>
                <w:rFonts w:ascii="Arial Narrow" w:eastAsia="Times New Roman" w:hAnsi="Arial Narrow" w:cs="Calibri"/>
                <w:b/>
                <w:bCs/>
                <w:color w:val="000000"/>
                <w:sz w:val="14"/>
                <w:szCs w:val="14"/>
                <w:lang w:eastAsia="es-MX"/>
              </w:rPr>
              <w:t>96,350,352.77</w:t>
            </w:r>
          </w:p>
        </w:tc>
        <w:tc>
          <w:tcPr>
            <w:tcW w:w="588" w:type="pct"/>
            <w:tcBorders>
              <w:top w:val="nil"/>
              <w:left w:val="nil"/>
              <w:bottom w:val="single" w:sz="4" w:space="0" w:color="auto"/>
              <w:right w:val="single" w:sz="4" w:space="0" w:color="auto"/>
            </w:tcBorders>
            <w:shd w:val="clear" w:color="auto" w:fill="auto"/>
            <w:noWrap/>
            <w:vAlign w:val="bottom"/>
            <w:hideMark/>
          </w:tcPr>
          <w:p w:rsidR="000E4B30" w:rsidRDefault="000E4B30" w:rsidP="00F34562">
            <w:pPr>
              <w:rPr>
                <w:rFonts w:ascii="Arial Narrow" w:eastAsia="Times New Roman" w:hAnsi="Arial Narrow" w:cs="Calibri"/>
                <w:b/>
                <w:bCs/>
                <w:color w:val="000000"/>
                <w:sz w:val="14"/>
                <w:szCs w:val="14"/>
                <w:lang w:eastAsia="es-MX"/>
              </w:rPr>
            </w:pPr>
          </w:p>
          <w:p w:rsidR="000E4B30" w:rsidRDefault="000E4B30" w:rsidP="00F34562">
            <w:pPr>
              <w:rPr>
                <w:rFonts w:ascii="Arial Narrow" w:eastAsia="Times New Roman" w:hAnsi="Arial Narrow" w:cs="Calibri"/>
                <w:b/>
                <w:bCs/>
                <w:color w:val="000000"/>
                <w:sz w:val="14"/>
                <w:szCs w:val="14"/>
                <w:lang w:eastAsia="es-MX"/>
              </w:rPr>
            </w:pPr>
            <w:r w:rsidRPr="002D539D">
              <w:rPr>
                <w:rFonts w:ascii="Arial Narrow" w:eastAsia="Times New Roman" w:hAnsi="Arial Narrow" w:cs="Calibri"/>
                <w:b/>
                <w:bCs/>
                <w:color w:val="000000"/>
                <w:sz w:val="14"/>
                <w:szCs w:val="14"/>
                <w:lang w:eastAsia="es-MX"/>
              </w:rPr>
              <w:t xml:space="preserve">$     </w:t>
            </w:r>
            <w:r>
              <w:rPr>
                <w:rFonts w:ascii="Arial Narrow" w:eastAsia="Times New Roman" w:hAnsi="Arial Narrow" w:cs="Calibri"/>
                <w:b/>
                <w:bCs/>
                <w:color w:val="000000"/>
                <w:sz w:val="14"/>
                <w:szCs w:val="14"/>
                <w:lang w:eastAsia="es-MX"/>
              </w:rPr>
              <w:t xml:space="preserve">    10,855,643.04</w:t>
            </w:r>
          </w:p>
          <w:p w:rsidR="000E4B30" w:rsidRPr="002D539D" w:rsidRDefault="000E4B30" w:rsidP="00F34562">
            <w:pPr>
              <w:rPr>
                <w:rFonts w:ascii="Arial Narrow" w:eastAsia="Times New Roman" w:hAnsi="Arial Narrow" w:cs="Calibri"/>
                <w:b/>
                <w:bCs/>
                <w:color w:val="000000"/>
                <w:sz w:val="14"/>
                <w:szCs w:val="14"/>
                <w:lang w:eastAsia="es-MX"/>
              </w:rPr>
            </w:pPr>
          </w:p>
        </w:tc>
        <w:tc>
          <w:tcPr>
            <w:tcW w:w="294" w:type="pct"/>
            <w:tcBorders>
              <w:top w:val="nil"/>
              <w:left w:val="nil"/>
              <w:bottom w:val="single" w:sz="4" w:space="0" w:color="auto"/>
              <w:right w:val="single" w:sz="4" w:space="0" w:color="auto"/>
            </w:tcBorders>
            <w:shd w:val="clear" w:color="auto" w:fill="auto"/>
            <w:noWrap/>
            <w:vAlign w:val="center"/>
            <w:hideMark/>
          </w:tcPr>
          <w:p w:rsidR="000E4B30" w:rsidRPr="002D539D" w:rsidRDefault="000E4B30" w:rsidP="00F34562">
            <w:pPr>
              <w:jc w:val="center"/>
              <w:rPr>
                <w:rFonts w:ascii="Arial Narrow" w:eastAsia="Times New Roman" w:hAnsi="Arial Narrow" w:cs="Calibri"/>
                <w:b/>
                <w:bCs/>
                <w:color w:val="000000"/>
                <w:sz w:val="14"/>
                <w:szCs w:val="14"/>
                <w:lang w:eastAsia="es-MX"/>
              </w:rPr>
            </w:pPr>
            <w:r>
              <w:rPr>
                <w:rFonts w:ascii="Arial Narrow" w:eastAsia="Times New Roman" w:hAnsi="Arial Narrow" w:cs="Calibri"/>
                <w:b/>
                <w:bCs/>
                <w:color w:val="000000"/>
                <w:sz w:val="14"/>
                <w:szCs w:val="14"/>
                <w:lang w:eastAsia="es-MX"/>
              </w:rPr>
              <w:t>97.87%</w:t>
            </w:r>
          </w:p>
        </w:tc>
      </w:tr>
    </w:tbl>
    <w:p w:rsidR="000E4B30" w:rsidRPr="00427010" w:rsidRDefault="000E4B30" w:rsidP="000E4B30">
      <w:pPr>
        <w:pStyle w:val="Prrafodelista"/>
        <w:numPr>
          <w:ilvl w:val="0"/>
          <w:numId w:val="5"/>
        </w:numPr>
        <w:spacing w:after="200"/>
        <w:ind w:left="708" w:hanging="708"/>
        <w:jc w:val="both"/>
        <w:rPr>
          <w:rFonts w:ascii="Arial" w:hAnsi="Arial" w:cs="Arial"/>
        </w:rPr>
      </w:pPr>
      <w:r w:rsidRPr="00427010">
        <w:rPr>
          <w:rFonts w:ascii="Arial" w:hAnsi="Arial" w:cs="Arial"/>
        </w:rPr>
        <w:lastRenderedPageBreak/>
        <w:t>Se anexan los montos autorizados en el Anexo de ejecución, donde se establecen los montos mensuales a recaudar de subsidio Federal y Estatal correspondientes al ejercicio 202</w:t>
      </w:r>
      <w:r>
        <w:rPr>
          <w:rFonts w:ascii="Arial" w:hAnsi="Arial" w:cs="Arial"/>
        </w:rPr>
        <w:t>5</w:t>
      </w:r>
      <w:r w:rsidRPr="00427010">
        <w:rPr>
          <w:rFonts w:ascii="Arial" w:hAnsi="Arial" w:cs="Arial"/>
        </w:rPr>
        <w:t xml:space="preserve">: </w:t>
      </w:r>
    </w:p>
    <w:tbl>
      <w:tblPr>
        <w:tblStyle w:val="TableNormal"/>
        <w:tblpPr w:leftFromText="141" w:rightFromText="141" w:vertAnchor="text" w:horzAnchor="margin" w:tblpY="11"/>
        <w:tblW w:w="9694"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Layout w:type="fixed"/>
        <w:tblLook w:val="01E0" w:firstRow="1" w:lastRow="1" w:firstColumn="1" w:lastColumn="1" w:noHBand="0" w:noVBand="0"/>
      </w:tblPr>
      <w:tblGrid>
        <w:gridCol w:w="1692"/>
        <w:gridCol w:w="2545"/>
        <w:gridCol w:w="2642"/>
        <w:gridCol w:w="2815"/>
      </w:tblGrid>
      <w:tr w:rsidR="000E4B30" w:rsidTr="00F34562">
        <w:trPr>
          <w:trHeight w:hRule="exact" w:val="269"/>
        </w:trPr>
        <w:tc>
          <w:tcPr>
            <w:tcW w:w="9694" w:type="dxa"/>
            <w:gridSpan w:val="4"/>
            <w:tcBorders>
              <w:top w:val="nil"/>
              <w:left w:val="nil"/>
              <w:bottom w:val="nil"/>
              <w:right w:val="nil"/>
            </w:tcBorders>
            <w:shd w:val="clear" w:color="auto" w:fill="F1A983"/>
          </w:tcPr>
          <w:p w:rsidR="000E4B30" w:rsidRPr="000E4B30" w:rsidRDefault="000E4B30" w:rsidP="00F34562">
            <w:pPr>
              <w:pStyle w:val="TableParagraph"/>
              <w:spacing w:before="2"/>
              <w:ind w:left="1605" w:right="0"/>
              <w:jc w:val="left"/>
              <w:rPr>
                <w:b/>
                <w:lang w:val="es-MX"/>
              </w:rPr>
            </w:pPr>
            <w:r w:rsidRPr="000E4B30">
              <w:rPr>
                <w:b/>
                <w:lang w:val="es-MX"/>
              </w:rPr>
              <w:t>CALENDARIO DE MINISTRACIONES, EJERCICIO FISCAL 2025</w:t>
            </w:r>
          </w:p>
        </w:tc>
      </w:tr>
      <w:tr w:rsidR="000E4B30" w:rsidTr="00F34562">
        <w:trPr>
          <w:trHeight w:hRule="exact" w:val="279"/>
        </w:trPr>
        <w:tc>
          <w:tcPr>
            <w:tcW w:w="9694" w:type="dxa"/>
            <w:gridSpan w:val="4"/>
            <w:tcBorders>
              <w:top w:val="nil"/>
              <w:left w:val="nil"/>
              <w:right w:val="nil"/>
            </w:tcBorders>
            <w:shd w:val="clear" w:color="auto" w:fill="F1A983"/>
          </w:tcPr>
          <w:p w:rsidR="000E4B30" w:rsidRDefault="000E4B30" w:rsidP="00F34562">
            <w:pPr>
              <w:pStyle w:val="TableParagraph"/>
              <w:spacing w:before="7"/>
              <w:ind w:left="3213" w:right="0"/>
              <w:jc w:val="left"/>
              <w:rPr>
                <w:b/>
              </w:rPr>
            </w:pPr>
            <w:r>
              <w:rPr>
                <w:b/>
              </w:rPr>
              <w:t>UNIVERSIDAD DE LA CIÉNEGA</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shd w:val="clear" w:color="auto" w:fill="E97132"/>
          </w:tcPr>
          <w:p w:rsidR="000E4B30" w:rsidRDefault="000E4B30" w:rsidP="00F34562">
            <w:pPr>
              <w:pStyle w:val="TableParagraph"/>
              <w:spacing w:before="0" w:line="246" w:lineRule="exact"/>
              <w:ind w:left="31" w:right="0"/>
              <w:jc w:val="left"/>
              <w:rPr>
                <w:b/>
              </w:rPr>
            </w:pPr>
            <w:r>
              <w:rPr>
                <w:b/>
                <w:color w:val="FFFFFF"/>
              </w:rPr>
              <w:t>MES</w:t>
            </w:r>
          </w:p>
        </w:tc>
        <w:tc>
          <w:tcPr>
            <w:tcW w:w="2545" w:type="dxa"/>
            <w:tcBorders>
              <w:top w:val="single" w:sz="8" w:space="0" w:color="F1A983"/>
              <w:left w:val="nil"/>
              <w:bottom w:val="single" w:sz="8" w:space="0" w:color="F1A983"/>
              <w:right w:val="nil"/>
            </w:tcBorders>
            <w:shd w:val="clear" w:color="auto" w:fill="E97132"/>
          </w:tcPr>
          <w:p w:rsidR="000E4B30" w:rsidRDefault="000E4B30" w:rsidP="00F34562">
            <w:pPr>
              <w:pStyle w:val="TableParagraph"/>
              <w:spacing w:before="0" w:line="246" w:lineRule="exact"/>
              <w:ind w:left="235" w:right="0"/>
              <w:jc w:val="left"/>
              <w:rPr>
                <w:b/>
              </w:rPr>
            </w:pPr>
            <w:r>
              <w:rPr>
                <w:b/>
                <w:color w:val="FFFFFF"/>
              </w:rPr>
              <w:t>SEP</w:t>
            </w:r>
          </w:p>
        </w:tc>
        <w:tc>
          <w:tcPr>
            <w:tcW w:w="2642" w:type="dxa"/>
            <w:tcBorders>
              <w:top w:val="single" w:sz="8" w:space="0" w:color="F1A983"/>
              <w:left w:val="nil"/>
              <w:bottom w:val="single" w:sz="8" w:space="0" w:color="F1A983"/>
              <w:right w:val="nil"/>
            </w:tcBorders>
            <w:shd w:val="clear" w:color="auto" w:fill="E97132"/>
          </w:tcPr>
          <w:p w:rsidR="000E4B30" w:rsidRDefault="000E4B30" w:rsidP="00F34562">
            <w:pPr>
              <w:pStyle w:val="TableParagraph"/>
              <w:spacing w:before="0" w:line="246" w:lineRule="exact"/>
              <w:ind w:left="78" w:right="0"/>
              <w:jc w:val="left"/>
              <w:rPr>
                <w:b/>
              </w:rPr>
            </w:pPr>
            <w:r>
              <w:rPr>
                <w:b/>
                <w:color w:val="FFFFFF"/>
              </w:rPr>
              <w:t>GOBIERNO ESTATAL</w:t>
            </w:r>
          </w:p>
        </w:tc>
        <w:tc>
          <w:tcPr>
            <w:tcW w:w="2815" w:type="dxa"/>
            <w:tcBorders>
              <w:top w:val="single" w:sz="8" w:space="0" w:color="F1A983"/>
              <w:left w:val="nil"/>
              <w:bottom w:val="single" w:sz="8" w:space="0" w:color="F1A983"/>
              <w:right w:val="single" w:sz="8" w:space="0" w:color="F1A983"/>
            </w:tcBorders>
            <w:shd w:val="clear" w:color="auto" w:fill="E97132"/>
          </w:tcPr>
          <w:p w:rsidR="000E4B30" w:rsidRDefault="000E4B30" w:rsidP="00F34562">
            <w:pPr>
              <w:pStyle w:val="TableParagraph"/>
              <w:spacing w:before="0" w:line="246" w:lineRule="exact"/>
              <w:ind w:left="78" w:right="0"/>
              <w:jc w:val="left"/>
              <w:rPr>
                <w:b/>
              </w:rPr>
            </w:pPr>
            <w:r>
              <w:rPr>
                <w:b/>
                <w:color w:val="FFFFFF"/>
              </w:rPr>
              <w:t>SUBSIDIO PÚBLICO</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shd w:val="clear" w:color="auto" w:fill="FBE2D5"/>
          </w:tcPr>
          <w:p w:rsidR="000E4B30" w:rsidRDefault="000E4B30" w:rsidP="00F34562">
            <w:pPr>
              <w:pStyle w:val="TableParagraph"/>
              <w:spacing w:before="0" w:line="246" w:lineRule="exact"/>
              <w:ind w:left="31" w:right="0"/>
              <w:jc w:val="left"/>
            </w:pPr>
            <w:r>
              <w:t>ENERO</w:t>
            </w:r>
          </w:p>
        </w:tc>
        <w:tc>
          <w:tcPr>
            <w:tcW w:w="2545"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868"/>
              </w:tabs>
              <w:spacing w:before="0" w:line="246" w:lineRule="exact"/>
              <w:ind w:right="76"/>
            </w:pPr>
            <w:r>
              <w:t>$</w:t>
            </w:r>
            <w:r>
              <w:tab/>
            </w:r>
            <w:r>
              <w:rPr>
                <w:spacing w:val="-1"/>
              </w:rPr>
              <w:t>2,377,000.00</w:t>
            </w:r>
          </w:p>
        </w:tc>
        <w:tc>
          <w:tcPr>
            <w:tcW w:w="2642"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1123"/>
              </w:tabs>
              <w:spacing w:before="0" w:line="246" w:lineRule="exact"/>
              <w:ind w:right="76"/>
            </w:pPr>
            <w:r>
              <w:t>$</w:t>
            </w:r>
            <w:r>
              <w:tab/>
            </w:r>
            <w:r>
              <w:rPr>
                <w:spacing w:val="-1"/>
              </w:rPr>
              <w:t>2,544,883.00</w:t>
            </w:r>
          </w:p>
        </w:tc>
        <w:tc>
          <w:tcPr>
            <w:tcW w:w="2815" w:type="dxa"/>
            <w:tcBorders>
              <w:top w:val="single" w:sz="8" w:space="0" w:color="F1A983"/>
              <w:left w:val="nil"/>
              <w:bottom w:val="single" w:sz="8" w:space="0" w:color="F1A983"/>
              <w:right w:val="single" w:sz="8" w:space="0" w:color="F1A983"/>
            </w:tcBorders>
            <w:shd w:val="clear" w:color="auto" w:fill="FBE2D5"/>
          </w:tcPr>
          <w:p w:rsidR="000E4B30" w:rsidRDefault="000E4B30" w:rsidP="00F34562">
            <w:pPr>
              <w:pStyle w:val="TableParagraph"/>
              <w:tabs>
                <w:tab w:val="left" w:pos="1255"/>
              </w:tabs>
              <w:spacing w:before="0" w:line="246" w:lineRule="exact"/>
              <w:ind w:right="107"/>
            </w:pPr>
            <w:r>
              <w:t>$</w:t>
            </w:r>
            <w:r>
              <w:tab/>
            </w:r>
            <w:r>
              <w:rPr>
                <w:spacing w:val="-1"/>
              </w:rPr>
              <w:t>4,921,883.00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tcPr>
          <w:p w:rsidR="000E4B30" w:rsidRDefault="000E4B30" w:rsidP="00F34562">
            <w:pPr>
              <w:pStyle w:val="TableParagraph"/>
              <w:spacing w:before="0" w:line="246" w:lineRule="exact"/>
              <w:ind w:left="30" w:right="0"/>
              <w:jc w:val="left"/>
            </w:pPr>
            <w:r>
              <w:t>FEBRERO</w:t>
            </w:r>
          </w:p>
        </w:tc>
        <w:tc>
          <w:tcPr>
            <w:tcW w:w="2545" w:type="dxa"/>
            <w:tcBorders>
              <w:top w:val="single" w:sz="8" w:space="0" w:color="F1A983"/>
              <w:left w:val="nil"/>
              <w:bottom w:val="single" w:sz="8" w:space="0" w:color="F1A983"/>
              <w:right w:val="nil"/>
            </w:tcBorders>
          </w:tcPr>
          <w:p w:rsidR="000E4B30" w:rsidRDefault="000E4B30" w:rsidP="00F34562">
            <w:pPr>
              <w:pStyle w:val="TableParagraph"/>
              <w:tabs>
                <w:tab w:val="left" w:pos="868"/>
              </w:tabs>
              <w:spacing w:before="0" w:line="246" w:lineRule="exact"/>
              <w:ind w:right="76"/>
            </w:pPr>
            <w:r>
              <w:t>$</w:t>
            </w:r>
            <w:r>
              <w:tab/>
            </w:r>
            <w:r>
              <w:rPr>
                <w:spacing w:val="-1"/>
              </w:rPr>
              <w:t>7,004,000.00</w:t>
            </w:r>
          </w:p>
        </w:tc>
        <w:tc>
          <w:tcPr>
            <w:tcW w:w="2642" w:type="dxa"/>
            <w:tcBorders>
              <w:top w:val="single" w:sz="8" w:space="0" w:color="F1A983"/>
              <w:left w:val="nil"/>
              <w:bottom w:val="single" w:sz="8" w:space="0" w:color="F1A983"/>
              <w:right w:val="nil"/>
            </w:tcBorders>
          </w:tcPr>
          <w:p w:rsidR="000E4B30" w:rsidRDefault="000E4B30" w:rsidP="00F34562">
            <w:pPr>
              <w:pStyle w:val="TableParagraph"/>
              <w:tabs>
                <w:tab w:val="left" w:pos="1123"/>
              </w:tabs>
              <w:spacing w:before="0" w:line="246" w:lineRule="exact"/>
              <w:ind w:right="76"/>
            </w:pPr>
            <w:r>
              <w:t>$</w:t>
            </w:r>
            <w:r>
              <w:tab/>
            </w:r>
            <w:r>
              <w:rPr>
                <w:spacing w:val="-1"/>
              </w:rPr>
              <w:t>7,498,679.00</w:t>
            </w:r>
          </w:p>
        </w:tc>
        <w:tc>
          <w:tcPr>
            <w:tcW w:w="2815" w:type="dxa"/>
            <w:tcBorders>
              <w:top w:val="single" w:sz="8" w:space="0" w:color="F1A983"/>
              <w:left w:val="nil"/>
              <w:bottom w:val="single" w:sz="8" w:space="0" w:color="F1A983"/>
              <w:right w:val="single" w:sz="8" w:space="0" w:color="F1A983"/>
            </w:tcBorders>
          </w:tcPr>
          <w:p w:rsidR="000E4B30" w:rsidRDefault="000E4B30" w:rsidP="00F34562">
            <w:pPr>
              <w:pStyle w:val="TableParagraph"/>
              <w:tabs>
                <w:tab w:val="left" w:pos="1132"/>
              </w:tabs>
              <w:spacing w:before="0" w:line="246" w:lineRule="exact"/>
              <w:ind w:right="107"/>
            </w:pPr>
            <w:r>
              <w:t>$</w:t>
            </w:r>
            <w:r>
              <w:tab/>
            </w:r>
            <w:r>
              <w:rPr>
                <w:spacing w:val="-1"/>
              </w:rPr>
              <w:t>14,502,679.00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shd w:val="clear" w:color="auto" w:fill="FBE2D5"/>
          </w:tcPr>
          <w:p w:rsidR="000E4B30" w:rsidRDefault="000E4B30" w:rsidP="00F34562">
            <w:pPr>
              <w:pStyle w:val="TableParagraph"/>
              <w:spacing w:before="0" w:line="246" w:lineRule="exact"/>
              <w:ind w:left="30" w:right="0"/>
              <w:jc w:val="left"/>
            </w:pPr>
            <w:r>
              <w:t>MARZO</w:t>
            </w:r>
          </w:p>
        </w:tc>
        <w:tc>
          <w:tcPr>
            <w:tcW w:w="2545"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868"/>
              </w:tabs>
              <w:spacing w:before="0" w:line="246" w:lineRule="exact"/>
              <w:ind w:right="76"/>
            </w:pPr>
            <w:r>
              <w:t>$</w:t>
            </w:r>
            <w:r>
              <w:tab/>
            </w:r>
            <w:r>
              <w:rPr>
                <w:spacing w:val="-1"/>
              </w:rPr>
              <w:t>5,748,000.00</w:t>
            </w:r>
          </w:p>
        </w:tc>
        <w:tc>
          <w:tcPr>
            <w:tcW w:w="2642"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1123"/>
              </w:tabs>
              <w:spacing w:before="0" w:line="246" w:lineRule="exact"/>
              <w:ind w:right="76"/>
            </w:pPr>
            <w:r>
              <w:t>$</w:t>
            </w:r>
            <w:r>
              <w:tab/>
            </w:r>
            <w:r>
              <w:rPr>
                <w:spacing w:val="-1"/>
              </w:rPr>
              <w:t>6,153,970.00</w:t>
            </w:r>
          </w:p>
        </w:tc>
        <w:tc>
          <w:tcPr>
            <w:tcW w:w="2815" w:type="dxa"/>
            <w:tcBorders>
              <w:top w:val="single" w:sz="8" w:space="0" w:color="F1A983"/>
              <w:left w:val="nil"/>
              <w:bottom w:val="single" w:sz="8" w:space="0" w:color="F1A983"/>
              <w:right w:val="single" w:sz="8" w:space="0" w:color="F1A983"/>
            </w:tcBorders>
            <w:shd w:val="clear" w:color="auto" w:fill="FBE2D5"/>
          </w:tcPr>
          <w:p w:rsidR="000E4B30" w:rsidRDefault="000E4B30" w:rsidP="00F34562">
            <w:pPr>
              <w:pStyle w:val="TableParagraph"/>
              <w:tabs>
                <w:tab w:val="left" w:pos="1132"/>
              </w:tabs>
              <w:spacing w:before="0" w:line="246" w:lineRule="exact"/>
              <w:ind w:right="107"/>
            </w:pPr>
            <w:r>
              <w:t>$</w:t>
            </w:r>
            <w:r>
              <w:tab/>
            </w:r>
            <w:r>
              <w:rPr>
                <w:spacing w:val="-1"/>
              </w:rPr>
              <w:t>11,901,970.00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tcPr>
          <w:p w:rsidR="000E4B30" w:rsidRDefault="000E4B30" w:rsidP="00F34562">
            <w:pPr>
              <w:pStyle w:val="TableParagraph"/>
              <w:spacing w:before="0" w:line="246" w:lineRule="exact"/>
              <w:ind w:left="30" w:right="0"/>
              <w:jc w:val="left"/>
            </w:pPr>
            <w:r>
              <w:t>ABRIL</w:t>
            </w:r>
          </w:p>
        </w:tc>
        <w:tc>
          <w:tcPr>
            <w:tcW w:w="2545" w:type="dxa"/>
            <w:tcBorders>
              <w:top w:val="single" w:sz="8" w:space="0" w:color="F1A983"/>
              <w:left w:val="nil"/>
              <w:bottom w:val="single" w:sz="8" w:space="0" w:color="F1A983"/>
              <w:right w:val="nil"/>
            </w:tcBorders>
          </w:tcPr>
          <w:p w:rsidR="000E4B30" w:rsidRDefault="000E4B30" w:rsidP="00F34562">
            <w:pPr>
              <w:pStyle w:val="TableParagraph"/>
              <w:tabs>
                <w:tab w:val="left" w:pos="868"/>
              </w:tabs>
              <w:spacing w:before="0" w:line="246" w:lineRule="exact"/>
              <w:ind w:right="76"/>
            </w:pPr>
            <w:r>
              <w:t>$</w:t>
            </w:r>
            <w:r>
              <w:tab/>
            </w:r>
            <w:r>
              <w:rPr>
                <w:spacing w:val="-1"/>
              </w:rPr>
              <w:t>2,882,000.00</w:t>
            </w:r>
          </w:p>
        </w:tc>
        <w:tc>
          <w:tcPr>
            <w:tcW w:w="2642" w:type="dxa"/>
            <w:tcBorders>
              <w:top w:val="single" w:sz="8" w:space="0" w:color="F1A983"/>
              <w:left w:val="nil"/>
              <w:bottom w:val="single" w:sz="8" w:space="0" w:color="F1A983"/>
              <w:right w:val="nil"/>
            </w:tcBorders>
          </w:tcPr>
          <w:p w:rsidR="000E4B30" w:rsidRDefault="000E4B30" w:rsidP="00F34562">
            <w:pPr>
              <w:pStyle w:val="TableParagraph"/>
              <w:tabs>
                <w:tab w:val="left" w:pos="1123"/>
              </w:tabs>
              <w:spacing w:before="0" w:line="246" w:lineRule="exact"/>
              <w:ind w:right="76"/>
            </w:pPr>
            <w:r>
              <w:t>$</w:t>
            </w:r>
            <w:r>
              <w:tab/>
            </w:r>
            <w:r>
              <w:rPr>
                <w:spacing w:val="-1"/>
              </w:rPr>
              <w:t>3,085,550.00</w:t>
            </w:r>
          </w:p>
        </w:tc>
        <w:tc>
          <w:tcPr>
            <w:tcW w:w="2815" w:type="dxa"/>
            <w:tcBorders>
              <w:top w:val="single" w:sz="8" w:space="0" w:color="F1A983"/>
              <w:left w:val="nil"/>
              <w:bottom w:val="single" w:sz="8" w:space="0" w:color="F1A983"/>
              <w:right w:val="single" w:sz="8" w:space="0" w:color="F1A983"/>
            </w:tcBorders>
          </w:tcPr>
          <w:p w:rsidR="000E4B30" w:rsidRDefault="000E4B30" w:rsidP="00F34562">
            <w:pPr>
              <w:pStyle w:val="TableParagraph"/>
              <w:tabs>
                <w:tab w:val="left" w:pos="1255"/>
              </w:tabs>
              <w:spacing w:before="0" w:line="246" w:lineRule="exact"/>
              <w:ind w:right="107"/>
            </w:pPr>
            <w:r>
              <w:t>$</w:t>
            </w:r>
            <w:r>
              <w:tab/>
            </w:r>
            <w:r>
              <w:rPr>
                <w:spacing w:val="-1"/>
              </w:rPr>
              <w:t>5,967,550.00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shd w:val="clear" w:color="auto" w:fill="FBE2D5"/>
          </w:tcPr>
          <w:p w:rsidR="000E4B30" w:rsidRDefault="000E4B30" w:rsidP="00F34562">
            <w:pPr>
              <w:pStyle w:val="TableParagraph"/>
              <w:spacing w:before="0" w:line="246" w:lineRule="exact"/>
              <w:ind w:left="30" w:right="0"/>
              <w:jc w:val="left"/>
            </w:pPr>
            <w:r>
              <w:t>MAYO</w:t>
            </w:r>
          </w:p>
        </w:tc>
        <w:tc>
          <w:tcPr>
            <w:tcW w:w="2545"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868"/>
              </w:tabs>
              <w:spacing w:before="0" w:line="246" w:lineRule="exact"/>
              <w:ind w:right="76"/>
            </w:pPr>
            <w:r>
              <w:t>$</w:t>
            </w:r>
            <w:r>
              <w:tab/>
            </w:r>
            <w:r>
              <w:rPr>
                <w:spacing w:val="-1"/>
              </w:rPr>
              <w:t>5,683,000.00</w:t>
            </w:r>
          </w:p>
        </w:tc>
        <w:tc>
          <w:tcPr>
            <w:tcW w:w="2642"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1123"/>
              </w:tabs>
              <w:spacing w:before="0" w:line="246" w:lineRule="exact"/>
              <w:ind w:right="76"/>
            </w:pPr>
            <w:r>
              <w:t>$</w:t>
            </w:r>
            <w:r>
              <w:tab/>
            </w:r>
            <w:r>
              <w:rPr>
                <w:spacing w:val="-1"/>
              </w:rPr>
              <w:t>6,084,379.00</w:t>
            </w:r>
          </w:p>
        </w:tc>
        <w:tc>
          <w:tcPr>
            <w:tcW w:w="2815" w:type="dxa"/>
            <w:tcBorders>
              <w:top w:val="single" w:sz="8" w:space="0" w:color="F1A983"/>
              <w:left w:val="nil"/>
              <w:bottom w:val="single" w:sz="8" w:space="0" w:color="F1A983"/>
              <w:right w:val="single" w:sz="8" w:space="0" w:color="F1A983"/>
            </w:tcBorders>
            <w:shd w:val="clear" w:color="auto" w:fill="FBE2D5"/>
          </w:tcPr>
          <w:p w:rsidR="000E4B30" w:rsidRDefault="000E4B30" w:rsidP="00F34562">
            <w:pPr>
              <w:pStyle w:val="TableParagraph"/>
              <w:tabs>
                <w:tab w:val="left" w:pos="1132"/>
              </w:tabs>
              <w:spacing w:before="0" w:line="246" w:lineRule="exact"/>
              <w:ind w:right="107"/>
            </w:pPr>
            <w:r>
              <w:t>$</w:t>
            </w:r>
            <w:r>
              <w:tab/>
            </w:r>
            <w:r>
              <w:rPr>
                <w:spacing w:val="-1"/>
              </w:rPr>
              <w:t>11,767,379.00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tcPr>
          <w:p w:rsidR="000E4B30" w:rsidRDefault="000E4B30" w:rsidP="00F34562">
            <w:pPr>
              <w:pStyle w:val="TableParagraph"/>
              <w:spacing w:before="0" w:line="246" w:lineRule="exact"/>
              <w:ind w:left="30" w:right="0"/>
              <w:jc w:val="left"/>
            </w:pPr>
            <w:r>
              <w:t>JUNIO</w:t>
            </w:r>
          </w:p>
        </w:tc>
        <w:tc>
          <w:tcPr>
            <w:tcW w:w="2545" w:type="dxa"/>
            <w:tcBorders>
              <w:top w:val="single" w:sz="8" w:space="0" w:color="F1A983"/>
              <w:left w:val="nil"/>
              <w:bottom w:val="single" w:sz="8" w:space="0" w:color="F1A983"/>
              <w:right w:val="nil"/>
            </w:tcBorders>
          </w:tcPr>
          <w:p w:rsidR="000E4B30" w:rsidRDefault="000E4B30" w:rsidP="00F34562">
            <w:pPr>
              <w:pStyle w:val="TableParagraph"/>
              <w:tabs>
                <w:tab w:val="left" w:pos="868"/>
              </w:tabs>
              <w:spacing w:before="0" w:line="246" w:lineRule="exact"/>
              <w:ind w:right="76"/>
            </w:pPr>
            <w:r>
              <w:t>$</w:t>
            </w:r>
            <w:r>
              <w:tab/>
            </w:r>
            <w:r>
              <w:rPr>
                <w:spacing w:val="-1"/>
              </w:rPr>
              <w:t>3,159,000.00</w:t>
            </w:r>
          </w:p>
        </w:tc>
        <w:tc>
          <w:tcPr>
            <w:tcW w:w="2642" w:type="dxa"/>
            <w:tcBorders>
              <w:top w:val="single" w:sz="8" w:space="0" w:color="F1A983"/>
              <w:left w:val="nil"/>
              <w:bottom w:val="single" w:sz="8" w:space="0" w:color="F1A983"/>
              <w:right w:val="nil"/>
            </w:tcBorders>
          </w:tcPr>
          <w:p w:rsidR="000E4B30" w:rsidRDefault="000E4B30" w:rsidP="00F34562">
            <w:pPr>
              <w:pStyle w:val="TableParagraph"/>
              <w:tabs>
                <w:tab w:val="left" w:pos="1123"/>
              </w:tabs>
              <w:spacing w:before="0" w:line="246" w:lineRule="exact"/>
              <w:ind w:right="76"/>
            </w:pPr>
            <w:r>
              <w:t>$</w:t>
            </w:r>
            <w:r>
              <w:tab/>
            </w:r>
            <w:r>
              <w:rPr>
                <w:spacing w:val="-1"/>
              </w:rPr>
              <w:t>3,382,114.00</w:t>
            </w:r>
          </w:p>
        </w:tc>
        <w:tc>
          <w:tcPr>
            <w:tcW w:w="2815" w:type="dxa"/>
            <w:tcBorders>
              <w:top w:val="single" w:sz="8" w:space="0" w:color="F1A983"/>
              <w:left w:val="nil"/>
              <w:bottom w:val="single" w:sz="8" w:space="0" w:color="F1A983"/>
              <w:right w:val="single" w:sz="8" w:space="0" w:color="F1A983"/>
            </w:tcBorders>
          </w:tcPr>
          <w:p w:rsidR="000E4B30" w:rsidRDefault="000E4B30" w:rsidP="00F34562">
            <w:pPr>
              <w:pStyle w:val="TableParagraph"/>
              <w:tabs>
                <w:tab w:val="left" w:pos="1255"/>
              </w:tabs>
              <w:spacing w:before="0" w:line="246" w:lineRule="exact"/>
              <w:ind w:right="107"/>
            </w:pPr>
            <w:r>
              <w:t>$</w:t>
            </w:r>
            <w:r>
              <w:tab/>
            </w:r>
            <w:r>
              <w:rPr>
                <w:spacing w:val="-1"/>
              </w:rPr>
              <w:t>6,541,114.00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shd w:val="clear" w:color="auto" w:fill="FBE2D5"/>
          </w:tcPr>
          <w:p w:rsidR="000E4B30" w:rsidRDefault="000E4B30" w:rsidP="00F34562">
            <w:pPr>
              <w:pStyle w:val="TableParagraph"/>
              <w:spacing w:before="0" w:line="246" w:lineRule="exact"/>
              <w:ind w:left="30" w:right="0"/>
              <w:jc w:val="left"/>
            </w:pPr>
            <w:r>
              <w:t>JULIO</w:t>
            </w:r>
          </w:p>
        </w:tc>
        <w:tc>
          <w:tcPr>
            <w:tcW w:w="2545"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868"/>
              </w:tabs>
              <w:spacing w:before="0" w:line="246" w:lineRule="exact"/>
              <w:ind w:right="77"/>
            </w:pPr>
            <w:r>
              <w:t>$</w:t>
            </w:r>
            <w:r>
              <w:tab/>
            </w:r>
            <w:r>
              <w:rPr>
                <w:spacing w:val="-1"/>
              </w:rPr>
              <w:t>4,280,000.00</w:t>
            </w:r>
          </w:p>
        </w:tc>
        <w:tc>
          <w:tcPr>
            <w:tcW w:w="2642"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1123"/>
              </w:tabs>
              <w:spacing w:before="0" w:line="246" w:lineRule="exact"/>
              <w:ind w:right="77"/>
            </w:pPr>
            <w:r>
              <w:t>$</w:t>
            </w:r>
            <w:r>
              <w:tab/>
            </w:r>
            <w:r>
              <w:rPr>
                <w:spacing w:val="-1"/>
              </w:rPr>
              <w:t>4,582,288.00</w:t>
            </w:r>
          </w:p>
        </w:tc>
        <w:tc>
          <w:tcPr>
            <w:tcW w:w="2815" w:type="dxa"/>
            <w:tcBorders>
              <w:top w:val="single" w:sz="8" w:space="0" w:color="F1A983"/>
              <w:left w:val="nil"/>
              <w:bottom w:val="single" w:sz="8" w:space="0" w:color="F1A983"/>
              <w:right w:val="single" w:sz="8" w:space="0" w:color="F1A983"/>
            </w:tcBorders>
            <w:shd w:val="clear" w:color="auto" w:fill="FBE2D5"/>
          </w:tcPr>
          <w:p w:rsidR="000E4B30" w:rsidRDefault="000E4B30" w:rsidP="00F34562">
            <w:pPr>
              <w:pStyle w:val="TableParagraph"/>
              <w:tabs>
                <w:tab w:val="left" w:pos="1255"/>
              </w:tabs>
              <w:spacing w:before="0" w:line="246" w:lineRule="exact"/>
              <w:ind w:right="108"/>
            </w:pPr>
            <w:r>
              <w:t>$</w:t>
            </w:r>
            <w:r>
              <w:tab/>
            </w:r>
            <w:r>
              <w:rPr>
                <w:spacing w:val="-1"/>
              </w:rPr>
              <w:t>8,862,288.00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tcPr>
          <w:p w:rsidR="000E4B30" w:rsidRDefault="000E4B30" w:rsidP="00F34562">
            <w:pPr>
              <w:pStyle w:val="TableParagraph"/>
              <w:spacing w:before="0" w:line="246" w:lineRule="exact"/>
              <w:ind w:left="30" w:right="0"/>
              <w:jc w:val="left"/>
            </w:pPr>
            <w:r>
              <w:t>AGOSTO</w:t>
            </w:r>
          </w:p>
        </w:tc>
        <w:tc>
          <w:tcPr>
            <w:tcW w:w="2545" w:type="dxa"/>
            <w:tcBorders>
              <w:top w:val="single" w:sz="8" w:space="0" w:color="F1A983"/>
              <w:left w:val="nil"/>
              <w:bottom w:val="single" w:sz="8" w:space="0" w:color="F1A983"/>
              <w:right w:val="nil"/>
            </w:tcBorders>
          </w:tcPr>
          <w:p w:rsidR="000E4B30" w:rsidRDefault="000E4B30" w:rsidP="00F34562">
            <w:pPr>
              <w:pStyle w:val="TableParagraph"/>
              <w:tabs>
                <w:tab w:val="left" w:pos="868"/>
              </w:tabs>
              <w:spacing w:before="0" w:line="246" w:lineRule="exact"/>
              <w:ind w:right="77"/>
            </w:pPr>
            <w:r>
              <w:t>$</w:t>
            </w:r>
            <w:r>
              <w:tab/>
            </w:r>
            <w:r>
              <w:rPr>
                <w:spacing w:val="-1"/>
              </w:rPr>
              <w:t>2,880,000.00</w:t>
            </w:r>
          </w:p>
        </w:tc>
        <w:tc>
          <w:tcPr>
            <w:tcW w:w="2642" w:type="dxa"/>
            <w:tcBorders>
              <w:top w:val="single" w:sz="8" w:space="0" w:color="F1A983"/>
              <w:left w:val="nil"/>
              <w:bottom w:val="single" w:sz="8" w:space="0" w:color="F1A983"/>
              <w:right w:val="nil"/>
            </w:tcBorders>
          </w:tcPr>
          <w:p w:rsidR="000E4B30" w:rsidRDefault="000E4B30" w:rsidP="00F34562">
            <w:pPr>
              <w:pStyle w:val="TableParagraph"/>
              <w:tabs>
                <w:tab w:val="left" w:pos="1123"/>
              </w:tabs>
              <w:spacing w:before="0" w:line="246" w:lineRule="exact"/>
              <w:ind w:right="77"/>
            </w:pPr>
            <w:r>
              <w:t>$</w:t>
            </w:r>
            <w:r>
              <w:tab/>
            </w:r>
            <w:r>
              <w:rPr>
                <w:spacing w:val="-1"/>
              </w:rPr>
              <w:t>3,083,409.00</w:t>
            </w:r>
          </w:p>
        </w:tc>
        <w:tc>
          <w:tcPr>
            <w:tcW w:w="2815" w:type="dxa"/>
            <w:tcBorders>
              <w:top w:val="single" w:sz="8" w:space="0" w:color="F1A983"/>
              <w:left w:val="nil"/>
              <w:bottom w:val="single" w:sz="8" w:space="0" w:color="F1A983"/>
              <w:right w:val="single" w:sz="8" w:space="0" w:color="F1A983"/>
            </w:tcBorders>
          </w:tcPr>
          <w:p w:rsidR="000E4B30" w:rsidRDefault="000E4B30" w:rsidP="00F34562">
            <w:pPr>
              <w:pStyle w:val="TableParagraph"/>
              <w:tabs>
                <w:tab w:val="left" w:pos="1255"/>
              </w:tabs>
              <w:spacing w:before="0" w:line="246" w:lineRule="exact"/>
              <w:ind w:right="108"/>
            </w:pPr>
            <w:r>
              <w:t>$</w:t>
            </w:r>
            <w:r>
              <w:tab/>
            </w:r>
            <w:r>
              <w:rPr>
                <w:spacing w:val="-1"/>
              </w:rPr>
              <w:t>5,963,409.00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shd w:val="clear" w:color="auto" w:fill="FBE2D5"/>
          </w:tcPr>
          <w:p w:rsidR="000E4B30" w:rsidRDefault="000E4B30" w:rsidP="00F34562">
            <w:pPr>
              <w:pStyle w:val="TableParagraph"/>
              <w:spacing w:before="0" w:line="246" w:lineRule="exact"/>
              <w:ind w:left="30" w:right="0"/>
              <w:jc w:val="left"/>
            </w:pPr>
            <w:r>
              <w:t>SEPTIEMBRE</w:t>
            </w:r>
          </w:p>
        </w:tc>
        <w:tc>
          <w:tcPr>
            <w:tcW w:w="2545"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868"/>
              </w:tabs>
              <w:spacing w:before="0" w:line="246" w:lineRule="exact"/>
              <w:ind w:right="77"/>
            </w:pPr>
            <w:r>
              <w:t>$</w:t>
            </w:r>
            <w:r>
              <w:tab/>
            </w:r>
            <w:r>
              <w:rPr>
                <w:spacing w:val="-1"/>
              </w:rPr>
              <w:t>6,662,000.00</w:t>
            </w:r>
          </w:p>
        </w:tc>
        <w:tc>
          <w:tcPr>
            <w:tcW w:w="2642"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1123"/>
              </w:tabs>
              <w:spacing w:before="0" w:line="246" w:lineRule="exact"/>
              <w:ind w:right="77"/>
            </w:pPr>
            <w:r>
              <w:t>$</w:t>
            </w:r>
            <w:r>
              <w:tab/>
            </w:r>
            <w:r>
              <w:rPr>
                <w:spacing w:val="-1"/>
              </w:rPr>
              <w:t>7,132,524.00</w:t>
            </w:r>
          </w:p>
        </w:tc>
        <w:tc>
          <w:tcPr>
            <w:tcW w:w="2815" w:type="dxa"/>
            <w:tcBorders>
              <w:top w:val="single" w:sz="8" w:space="0" w:color="F1A983"/>
              <w:left w:val="nil"/>
              <w:bottom w:val="single" w:sz="8" w:space="0" w:color="F1A983"/>
              <w:right w:val="single" w:sz="8" w:space="0" w:color="F1A983"/>
            </w:tcBorders>
            <w:shd w:val="clear" w:color="auto" w:fill="FBE2D5"/>
          </w:tcPr>
          <w:p w:rsidR="000E4B30" w:rsidRDefault="000E4B30" w:rsidP="00F34562">
            <w:pPr>
              <w:pStyle w:val="TableParagraph"/>
              <w:tabs>
                <w:tab w:val="left" w:pos="1132"/>
              </w:tabs>
              <w:spacing w:before="0" w:line="246" w:lineRule="exact"/>
              <w:ind w:right="108"/>
            </w:pPr>
            <w:r>
              <w:t>$</w:t>
            </w:r>
            <w:r>
              <w:tab/>
            </w:r>
            <w:r>
              <w:rPr>
                <w:spacing w:val="-1"/>
              </w:rPr>
              <w:t>13,794,524.00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tcPr>
          <w:p w:rsidR="000E4B30" w:rsidRDefault="000E4B30" w:rsidP="00F34562">
            <w:pPr>
              <w:pStyle w:val="TableParagraph"/>
              <w:spacing w:before="0" w:line="246" w:lineRule="exact"/>
              <w:ind w:left="30" w:right="0"/>
              <w:jc w:val="left"/>
            </w:pPr>
            <w:r>
              <w:t>OCTUBRE</w:t>
            </w:r>
          </w:p>
        </w:tc>
        <w:tc>
          <w:tcPr>
            <w:tcW w:w="2545" w:type="dxa"/>
            <w:tcBorders>
              <w:top w:val="single" w:sz="8" w:space="0" w:color="F1A983"/>
              <w:left w:val="nil"/>
              <w:bottom w:val="single" w:sz="8" w:space="0" w:color="F1A983"/>
              <w:right w:val="nil"/>
            </w:tcBorders>
          </w:tcPr>
          <w:p w:rsidR="000E4B30" w:rsidRDefault="000E4B30" w:rsidP="00F34562">
            <w:pPr>
              <w:pStyle w:val="TableParagraph"/>
              <w:tabs>
                <w:tab w:val="left" w:pos="1053"/>
              </w:tabs>
              <w:spacing w:before="0" w:line="246" w:lineRule="exact"/>
              <w:ind w:right="77"/>
            </w:pPr>
            <w:r>
              <w:t>$</w:t>
            </w:r>
            <w:r>
              <w:tab/>
            </w:r>
            <w:r>
              <w:rPr>
                <w:spacing w:val="-1"/>
              </w:rPr>
              <w:t>498,000.00</w:t>
            </w:r>
          </w:p>
        </w:tc>
        <w:tc>
          <w:tcPr>
            <w:tcW w:w="2642" w:type="dxa"/>
            <w:tcBorders>
              <w:top w:val="single" w:sz="8" w:space="0" w:color="F1A983"/>
              <w:left w:val="nil"/>
              <w:bottom w:val="single" w:sz="8" w:space="0" w:color="F1A983"/>
              <w:right w:val="nil"/>
            </w:tcBorders>
          </w:tcPr>
          <w:p w:rsidR="000E4B30" w:rsidRDefault="000E4B30" w:rsidP="00F34562">
            <w:pPr>
              <w:pStyle w:val="TableParagraph"/>
              <w:tabs>
                <w:tab w:val="left" w:pos="1307"/>
              </w:tabs>
              <w:spacing w:before="0" w:line="246" w:lineRule="exact"/>
              <w:ind w:right="77"/>
            </w:pPr>
            <w:r>
              <w:t>$</w:t>
            </w:r>
            <w:r>
              <w:tab/>
            </w:r>
            <w:r>
              <w:rPr>
                <w:spacing w:val="-1"/>
              </w:rPr>
              <w:t>533,173.00</w:t>
            </w:r>
          </w:p>
        </w:tc>
        <w:tc>
          <w:tcPr>
            <w:tcW w:w="2815" w:type="dxa"/>
            <w:tcBorders>
              <w:top w:val="single" w:sz="8" w:space="0" w:color="F1A983"/>
              <w:left w:val="nil"/>
              <w:bottom w:val="single" w:sz="8" w:space="0" w:color="F1A983"/>
              <w:right w:val="single" w:sz="8" w:space="0" w:color="F1A983"/>
            </w:tcBorders>
          </w:tcPr>
          <w:p w:rsidR="000E4B30" w:rsidRDefault="000E4B30" w:rsidP="00F34562">
            <w:pPr>
              <w:pStyle w:val="TableParagraph"/>
              <w:tabs>
                <w:tab w:val="left" w:pos="1255"/>
              </w:tabs>
              <w:spacing w:before="0" w:line="246" w:lineRule="exact"/>
              <w:ind w:right="108"/>
            </w:pPr>
            <w:r>
              <w:t>$</w:t>
            </w:r>
            <w:r>
              <w:tab/>
            </w:r>
            <w:r>
              <w:rPr>
                <w:spacing w:val="-1"/>
              </w:rPr>
              <w:t>1,031,173.00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shd w:val="clear" w:color="auto" w:fill="FBE2D5"/>
          </w:tcPr>
          <w:p w:rsidR="000E4B30" w:rsidRDefault="000E4B30" w:rsidP="00F34562">
            <w:pPr>
              <w:pStyle w:val="TableParagraph"/>
              <w:spacing w:before="0" w:line="246" w:lineRule="exact"/>
              <w:ind w:left="29" w:right="0"/>
              <w:jc w:val="left"/>
            </w:pPr>
            <w:r>
              <w:t>NOVIEMBRE</w:t>
            </w:r>
          </w:p>
        </w:tc>
        <w:tc>
          <w:tcPr>
            <w:tcW w:w="2545"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868"/>
              </w:tabs>
              <w:spacing w:before="0" w:line="246" w:lineRule="exact"/>
              <w:ind w:right="77"/>
            </w:pPr>
            <w:r>
              <w:t>$</w:t>
            </w:r>
            <w:r>
              <w:tab/>
            </w:r>
            <w:r>
              <w:rPr>
                <w:spacing w:val="-1"/>
              </w:rPr>
              <w:t>4,290,715.00</w:t>
            </w:r>
          </w:p>
        </w:tc>
        <w:tc>
          <w:tcPr>
            <w:tcW w:w="2642"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1123"/>
              </w:tabs>
              <w:spacing w:before="0" w:line="246" w:lineRule="exact"/>
              <w:ind w:right="77"/>
            </w:pPr>
            <w:r>
              <w:t>$</w:t>
            </w:r>
            <w:r>
              <w:tab/>
            </w:r>
            <w:r>
              <w:rPr>
                <w:spacing w:val="-1"/>
              </w:rPr>
              <w:t>4,593,761.00</w:t>
            </w:r>
          </w:p>
        </w:tc>
        <w:tc>
          <w:tcPr>
            <w:tcW w:w="2815" w:type="dxa"/>
            <w:tcBorders>
              <w:top w:val="single" w:sz="8" w:space="0" w:color="F1A983"/>
              <w:left w:val="nil"/>
              <w:bottom w:val="single" w:sz="8" w:space="0" w:color="F1A983"/>
              <w:right w:val="single" w:sz="8" w:space="0" w:color="F1A983"/>
            </w:tcBorders>
            <w:shd w:val="clear" w:color="auto" w:fill="FBE2D5"/>
          </w:tcPr>
          <w:p w:rsidR="000E4B30" w:rsidRDefault="000E4B30" w:rsidP="00F34562">
            <w:pPr>
              <w:pStyle w:val="TableParagraph"/>
              <w:tabs>
                <w:tab w:val="left" w:pos="1255"/>
              </w:tabs>
              <w:spacing w:before="0" w:line="246" w:lineRule="exact"/>
              <w:ind w:right="108"/>
            </w:pPr>
            <w:r>
              <w:t>$</w:t>
            </w:r>
            <w:r>
              <w:tab/>
            </w:r>
            <w:r>
              <w:rPr>
                <w:spacing w:val="-1"/>
              </w:rPr>
              <w:t>8,884,476.00</w:t>
            </w:r>
          </w:p>
        </w:tc>
      </w:tr>
      <w:tr w:rsidR="000E4B30" w:rsidTr="00F34562">
        <w:trPr>
          <w:trHeight w:hRule="exact" w:val="274"/>
        </w:trPr>
        <w:tc>
          <w:tcPr>
            <w:tcW w:w="1692" w:type="dxa"/>
            <w:tcBorders>
              <w:top w:val="single" w:sz="8" w:space="0" w:color="F1A983"/>
              <w:left w:val="single" w:sz="8" w:space="0" w:color="F1A983"/>
              <w:bottom w:val="single" w:sz="8" w:space="0" w:color="F1A983"/>
              <w:right w:val="nil"/>
            </w:tcBorders>
          </w:tcPr>
          <w:p w:rsidR="000E4B30" w:rsidRDefault="000E4B30" w:rsidP="00F34562">
            <w:pPr>
              <w:pStyle w:val="TableParagraph"/>
              <w:spacing w:before="0" w:line="246" w:lineRule="exact"/>
              <w:ind w:left="29" w:right="0"/>
              <w:jc w:val="left"/>
            </w:pPr>
            <w:r>
              <w:t>DICIEMBRE</w:t>
            </w:r>
          </w:p>
        </w:tc>
        <w:tc>
          <w:tcPr>
            <w:tcW w:w="2545" w:type="dxa"/>
            <w:tcBorders>
              <w:top w:val="single" w:sz="8" w:space="0" w:color="F1A983"/>
              <w:left w:val="nil"/>
              <w:bottom w:val="single" w:sz="8" w:space="0" w:color="F1A983"/>
              <w:right w:val="nil"/>
            </w:tcBorders>
          </w:tcPr>
          <w:p w:rsidR="000E4B30" w:rsidRDefault="000E4B30" w:rsidP="00F34562">
            <w:pPr>
              <w:pStyle w:val="TableParagraph"/>
              <w:tabs>
                <w:tab w:val="left" w:pos="2146"/>
              </w:tabs>
              <w:spacing w:before="0" w:line="246" w:lineRule="exact"/>
              <w:ind w:left="308" w:right="0"/>
              <w:jc w:val="left"/>
            </w:pPr>
            <w:r>
              <w:t>$</w:t>
            </w:r>
            <w:r>
              <w:tab/>
              <w:t>-</w:t>
            </w:r>
          </w:p>
        </w:tc>
        <w:tc>
          <w:tcPr>
            <w:tcW w:w="2642" w:type="dxa"/>
            <w:tcBorders>
              <w:top w:val="single" w:sz="8" w:space="0" w:color="F1A983"/>
              <w:left w:val="nil"/>
              <w:bottom w:val="single" w:sz="8" w:space="0" w:color="F1A983"/>
              <w:right w:val="nil"/>
            </w:tcBorders>
          </w:tcPr>
          <w:p w:rsidR="000E4B30" w:rsidRDefault="000E4B30" w:rsidP="00F34562">
            <w:pPr>
              <w:pStyle w:val="TableParagraph"/>
              <w:tabs>
                <w:tab w:val="left" w:pos="2244"/>
              </w:tabs>
              <w:spacing w:before="0" w:line="246" w:lineRule="exact"/>
              <w:ind w:left="151" w:right="0"/>
              <w:jc w:val="left"/>
            </w:pPr>
            <w:r>
              <w:t>$</w:t>
            </w:r>
            <w:r>
              <w:tab/>
              <w:t>-</w:t>
            </w:r>
          </w:p>
        </w:tc>
        <w:tc>
          <w:tcPr>
            <w:tcW w:w="2815" w:type="dxa"/>
            <w:tcBorders>
              <w:top w:val="single" w:sz="8" w:space="0" w:color="F1A983"/>
              <w:left w:val="nil"/>
              <w:bottom w:val="single" w:sz="8" w:space="0" w:color="F1A983"/>
              <w:right w:val="single" w:sz="8" w:space="0" w:color="F1A983"/>
            </w:tcBorders>
          </w:tcPr>
          <w:p w:rsidR="000E4B30" w:rsidRDefault="000E4B30" w:rsidP="00F34562">
            <w:pPr>
              <w:pStyle w:val="TableParagraph"/>
              <w:tabs>
                <w:tab w:val="left" w:pos="2376"/>
              </w:tabs>
              <w:spacing w:before="0" w:line="246" w:lineRule="exact"/>
              <w:ind w:left="151" w:right="0"/>
              <w:jc w:val="left"/>
            </w:pPr>
            <w:r>
              <w:t>$</w:t>
            </w:r>
            <w:r>
              <w:tab/>
              <w:t>-</w:t>
            </w:r>
          </w:p>
        </w:tc>
      </w:tr>
      <w:tr w:rsidR="000E4B30" w:rsidTr="00F34562">
        <w:trPr>
          <w:trHeight w:hRule="exact" w:val="278"/>
        </w:trPr>
        <w:tc>
          <w:tcPr>
            <w:tcW w:w="1692" w:type="dxa"/>
            <w:tcBorders>
              <w:top w:val="single" w:sz="8" w:space="0" w:color="F1A983"/>
              <w:left w:val="single" w:sz="8" w:space="0" w:color="F1A983"/>
              <w:bottom w:val="single" w:sz="8" w:space="0" w:color="F1A983"/>
              <w:right w:val="nil"/>
            </w:tcBorders>
            <w:shd w:val="clear" w:color="auto" w:fill="FBE2D5"/>
          </w:tcPr>
          <w:p w:rsidR="000E4B30" w:rsidRDefault="000E4B30" w:rsidP="00F34562"/>
        </w:tc>
        <w:tc>
          <w:tcPr>
            <w:tcW w:w="2545"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746"/>
              </w:tabs>
              <w:spacing w:before="0" w:line="246" w:lineRule="exact"/>
              <w:ind w:right="76"/>
              <w:rPr>
                <w:b/>
              </w:rPr>
            </w:pPr>
            <w:r>
              <w:rPr>
                <w:b/>
              </w:rPr>
              <w:t>$</w:t>
            </w:r>
            <w:r>
              <w:rPr>
                <w:b/>
              </w:rPr>
              <w:tab/>
            </w:r>
            <w:r>
              <w:rPr>
                <w:b/>
                <w:spacing w:val="-1"/>
              </w:rPr>
              <w:t>45,463,715.00</w:t>
            </w:r>
          </w:p>
        </w:tc>
        <w:tc>
          <w:tcPr>
            <w:tcW w:w="2642" w:type="dxa"/>
            <w:tcBorders>
              <w:top w:val="single" w:sz="8" w:space="0" w:color="F1A983"/>
              <w:left w:val="nil"/>
              <w:bottom w:val="single" w:sz="8" w:space="0" w:color="F1A983"/>
              <w:right w:val="nil"/>
            </w:tcBorders>
            <w:shd w:val="clear" w:color="auto" w:fill="FBE2D5"/>
          </w:tcPr>
          <w:p w:rsidR="000E4B30" w:rsidRDefault="000E4B30" w:rsidP="00F34562">
            <w:pPr>
              <w:pStyle w:val="TableParagraph"/>
              <w:tabs>
                <w:tab w:val="left" w:pos="1000"/>
              </w:tabs>
              <w:spacing w:before="0" w:line="246" w:lineRule="exact"/>
              <w:ind w:right="76"/>
              <w:rPr>
                <w:b/>
              </w:rPr>
            </w:pPr>
            <w:r>
              <w:rPr>
                <w:b/>
              </w:rPr>
              <w:t>$</w:t>
            </w:r>
            <w:r>
              <w:rPr>
                <w:b/>
              </w:rPr>
              <w:tab/>
            </w:r>
            <w:r>
              <w:rPr>
                <w:b/>
                <w:spacing w:val="-1"/>
              </w:rPr>
              <w:t>48,674,730.00</w:t>
            </w:r>
          </w:p>
        </w:tc>
        <w:tc>
          <w:tcPr>
            <w:tcW w:w="2815" w:type="dxa"/>
            <w:tcBorders>
              <w:top w:val="single" w:sz="8" w:space="0" w:color="F1A983"/>
              <w:left w:val="nil"/>
              <w:bottom w:val="single" w:sz="8" w:space="0" w:color="F1A983"/>
              <w:right w:val="single" w:sz="8" w:space="0" w:color="F1A983"/>
            </w:tcBorders>
            <w:shd w:val="clear" w:color="auto" w:fill="FBE2D5"/>
          </w:tcPr>
          <w:p w:rsidR="000E4B30" w:rsidRDefault="000E4B30" w:rsidP="00F34562">
            <w:pPr>
              <w:pStyle w:val="TableParagraph"/>
              <w:tabs>
                <w:tab w:val="left" w:pos="1132"/>
              </w:tabs>
              <w:spacing w:before="0" w:line="246" w:lineRule="exact"/>
              <w:ind w:right="107"/>
              <w:rPr>
                <w:b/>
              </w:rPr>
            </w:pPr>
            <w:r>
              <w:rPr>
                <w:b/>
              </w:rPr>
              <w:t>$</w:t>
            </w:r>
            <w:r>
              <w:rPr>
                <w:b/>
              </w:rPr>
              <w:tab/>
            </w:r>
            <w:r>
              <w:rPr>
                <w:b/>
                <w:spacing w:val="-1"/>
              </w:rPr>
              <w:t>94,138,445.00</w:t>
            </w:r>
          </w:p>
        </w:tc>
      </w:tr>
    </w:tbl>
    <w:p w:rsidR="000E4B30" w:rsidRDefault="000E4B30" w:rsidP="000E4B30">
      <w:pPr>
        <w:jc w:val="both"/>
        <w:rPr>
          <w:rFonts w:ascii="Arial" w:hAnsi="Arial" w:cs="Arial"/>
        </w:rPr>
      </w:pPr>
    </w:p>
    <w:p w:rsidR="000E4B30" w:rsidRPr="00427010" w:rsidRDefault="000E4B30" w:rsidP="000E4B30">
      <w:pPr>
        <w:jc w:val="both"/>
        <w:rPr>
          <w:rFonts w:ascii="Arial" w:hAnsi="Arial" w:cs="Arial"/>
          <w:b/>
        </w:rPr>
      </w:pPr>
      <w:r>
        <w:rPr>
          <w:rFonts w:ascii="Arial" w:hAnsi="Arial" w:cs="Arial"/>
          <w:b/>
        </w:rPr>
        <w:t>Se cuenta con</w:t>
      </w:r>
      <w:r w:rsidRPr="00427010">
        <w:rPr>
          <w:rFonts w:ascii="Arial" w:hAnsi="Arial" w:cs="Arial"/>
          <w:b/>
        </w:rPr>
        <w:t xml:space="preserve"> los adeudos de recursos siguientes:</w:t>
      </w:r>
    </w:p>
    <w:p w:rsidR="000E4B30" w:rsidRPr="005112AF" w:rsidRDefault="000E4B30" w:rsidP="000E4B30">
      <w:pPr>
        <w:pStyle w:val="Prrafodelista"/>
        <w:numPr>
          <w:ilvl w:val="0"/>
          <w:numId w:val="3"/>
        </w:numPr>
        <w:spacing w:after="200"/>
        <w:jc w:val="both"/>
        <w:rPr>
          <w:rFonts w:ascii="Arial" w:hAnsi="Arial" w:cs="Arial"/>
        </w:rPr>
      </w:pPr>
      <w:r w:rsidRPr="005112AF">
        <w:rPr>
          <w:rFonts w:ascii="Arial" w:hAnsi="Arial" w:cs="Arial"/>
        </w:rPr>
        <w:t>Recurso ordinario 2011 $13’529,960.58</w:t>
      </w:r>
    </w:p>
    <w:p w:rsidR="000E4B30" w:rsidRPr="00183F27" w:rsidRDefault="000E4B30" w:rsidP="000E4B30">
      <w:pPr>
        <w:pStyle w:val="Prrafodelista"/>
        <w:numPr>
          <w:ilvl w:val="0"/>
          <w:numId w:val="3"/>
        </w:numPr>
        <w:spacing w:after="200"/>
        <w:jc w:val="both"/>
        <w:rPr>
          <w:rFonts w:ascii="Arial" w:hAnsi="Arial" w:cs="Arial"/>
        </w:rPr>
      </w:pPr>
      <w:r w:rsidRPr="00183F27">
        <w:rPr>
          <w:rFonts w:ascii="Arial" w:hAnsi="Arial" w:cs="Arial"/>
        </w:rPr>
        <w:t>PIFI 2012-2013 por $3,973.91</w:t>
      </w:r>
    </w:p>
    <w:p w:rsidR="000E4B30" w:rsidRPr="00183F27" w:rsidRDefault="000E4B30" w:rsidP="000E4B30">
      <w:pPr>
        <w:pStyle w:val="Prrafodelista"/>
        <w:numPr>
          <w:ilvl w:val="0"/>
          <w:numId w:val="3"/>
        </w:numPr>
        <w:spacing w:after="200"/>
        <w:jc w:val="both"/>
        <w:rPr>
          <w:rFonts w:ascii="Arial" w:hAnsi="Arial" w:cs="Arial"/>
        </w:rPr>
      </w:pPr>
      <w:r w:rsidRPr="00183F27">
        <w:rPr>
          <w:rFonts w:ascii="Arial" w:hAnsi="Arial" w:cs="Arial"/>
        </w:rPr>
        <w:t xml:space="preserve">Recurso </w:t>
      </w:r>
      <w:r>
        <w:rPr>
          <w:rFonts w:ascii="Arial" w:hAnsi="Arial" w:cs="Arial"/>
        </w:rPr>
        <w:t xml:space="preserve">ordinario </w:t>
      </w:r>
      <w:r w:rsidRPr="00183F27">
        <w:rPr>
          <w:rFonts w:ascii="Arial" w:hAnsi="Arial" w:cs="Arial"/>
        </w:rPr>
        <w:t>federal 2012 de $1’193,927.00</w:t>
      </w:r>
    </w:p>
    <w:p w:rsidR="000E4B30" w:rsidRPr="00183F27" w:rsidRDefault="000E4B30" w:rsidP="000E4B30">
      <w:pPr>
        <w:pStyle w:val="Prrafodelista"/>
        <w:numPr>
          <w:ilvl w:val="0"/>
          <w:numId w:val="3"/>
        </w:numPr>
        <w:spacing w:after="200"/>
        <w:jc w:val="both"/>
        <w:rPr>
          <w:rFonts w:ascii="Arial" w:hAnsi="Arial" w:cs="Arial"/>
        </w:rPr>
      </w:pPr>
      <w:r w:rsidRPr="00183F27">
        <w:rPr>
          <w:rFonts w:ascii="Arial" w:hAnsi="Arial" w:cs="Arial"/>
        </w:rPr>
        <w:t>Recurso</w:t>
      </w:r>
      <w:r>
        <w:rPr>
          <w:rFonts w:ascii="Arial" w:hAnsi="Arial" w:cs="Arial"/>
        </w:rPr>
        <w:t xml:space="preserve"> ordinario</w:t>
      </w:r>
      <w:r w:rsidRPr="00183F27">
        <w:rPr>
          <w:rFonts w:ascii="Arial" w:hAnsi="Arial" w:cs="Arial"/>
        </w:rPr>
        <w:t xml:space="preserve"> estatal 2015 $3’538,103.00</w:t>
      </w:r>
    </w:p>
    <w:p w:rsidR="000E4B30" w:rsidRPr="00183F27" w:rsidRDefault="000E4B30" w:rsidP="000E4B30">
      <w:pPr>
        <w:pStyle w:val="Prrafodelista"/>
        <w:numPr>
          <w:ilvl w:val="0"/>
          <w:numId w:val="3"/>
        </w:numPr>
        <w:spacing w:after="200"/>
        <w:jc w:val="both"/>
        <w:rPr>
          <w:rFonts w:ascii="Arial" w:hAnsi="Arial" w:cs="Arial"/>
        </w:rPr>
      </w:pPr>
      <w:r w:rsidRPr="00183F27">
        <w:rPr>
          <w:rFonts w:ascii="Arial" w:hAnsi="Arial" w:cs="Arial"/>
        </w:rPr>
        <w:t xml:space="preserve">Recurso </w:t>
      </w:r>
      <w:r>
        <w:rPr>
          <w:rFonts w:ascii="Arial" w:hAnsi="Arial" w:cs="Arial"/>
        </w:rPr>
        <w:t xml:space="preserve">ordinario </w:t>
      </w:r>
      <w:r w:rsidRPr="00183F27">
        <w:rPr>
          <w:rFonts w:ascii="Arial" w:hAnsi="Arial" w:cs="Arial"/>
        </w:rPr>
        <w:t>estatal 2016 $2’757,406.00</w:t>
      </w:r>
    </w:p>
    <w:p w:rsidR="000E4B30" w:rsidRDefault="000E4B30" w:rsidP="000E4B30">
      <w:pPr>
        <w:pStyle w:val="Prrafodelista"/>
        <w:numPr>
          <w:ilvl w:val="0"/>
          <w:numId w:val="3"/>
        </w:numPr>
        <w:spacing w:after="200"/>
        <w:jc w:val="both"/>
        <w:rPr>
          <w:rFonts w:ascii="Arial" w:hAnsi="Arial" w:cs="Arial"/>
        </w:rPr>
      </w:pPr>
      <w:r w:rsidRPr="00183F27">
        <w:rPr>
          <w:rFonts w:ascii="Arial" w:hAnsi="Arial" w:cs="Arial"/>
        </w:rPr>
        <w:t xml:space="preserve">Recurso </w:t>
      </w:r>
      <w:r>
        <w:rPr>
          <w:rFonts w:ascii="Arial" w:hAnsi="Arial" w:cs="Arial"/>
        </w:rPr>
        <w:t xml:space="preserve">ordinario </w:t>
      </w:r>
      <w:r w:rsidRPr="00183F27">
        <w:rPr>
          <w:rFonts w:ascii="Arial" w:hAnsi="Arial" w:cs="Arial"/>
        </w:rPr>
        <w:t>estatal 2017 $5´281,918.00</w:t>
      </w:r>
    </w:p>
    <w:p w:rsidR="000E4B30" w:rsidRDefault="000E4B30" w:rsidP="000E4B30">
      <w:pPr>
        <w:jc w:val="both"/>
        <w:rPr>
          <w:rFonts w:ascii="Arial" w:hAnsi="Arial" w:cs="Arial"/>
        </w:rPr>
      </w:pPr>
      <w:r>
        <w:rPr>
          <w:rFonts w:ascii="Arial" w:hAnsi="Arial" w:cs="Arial"/>
        </w:rPr>
        <w:t>Los adeudos reportados corresponden a subsidios otorgados a la Universidad de la Ciénega del Estado de Michoacán de Ocampo, según los anexos de ejecución y convenios firmados con el estado y/o la federación durante los ejercicios fiscales reportados, sin embargo, no se cuenta con algún cobro de proveedores pendientes y tampoco se cuenta con documentación que permita cerrar esos adeudos.</w:t>
      </w:r>
    </w:p>
    <w:p w:rsidR="000E4B30" w:rsidRDefault="000E4B30" w:rsidP="000E4B30">
      <w:pPr>
        <w:jc w:val="both"/>
        <w:rPr>
          <w:rFonts w:ascii="Arial" w:hAnsi="Arial" w:cs="Arial"/>
        </w:rPr>
      </w:pPr>
    </w:p>
    <w:p w:rsidR="000E4B30" w:rsidRDefault="000E4B30" w:rsidP="000E4B30">
      <w:pPr>
        <w:jc w:val="both"/>
        <w:rPr>
          <w:rFonts w:ascii="Arial" w:hAnsi="Arial" w:cs="Arial"/>
        </w:rPr>
      </w:pPr>
      <w:r>
        <w:rPr>
          <w:rFonts w:ascii="Arial" w:hAnsi="Arial" w:cs="Arial"/>
        </w:rPr>
        <w:t>Se instaló e</w:t>
      </w:r>
      <w:r w:rsidRPr="00EF3DC2">
        <w:rPr>
          <w:rFonts w:ascii="Arial" w:hAnsi="Arial" w:cs="Arial"/>
        </w:rPr>
        <w:t xml:space="preserve">l Comité de Evaluación y Control para la Depuración y Cancelación de Saldos, facultado para emitir de manera oficial la opinión y autorización de las propuestas que dictaminen los saldos para su cancelación, </w:t>
      </w:r>
      <w:r>
        <w:rPr>
          <w:rFonts w:ascii="Arial" w:hAnsi="Arial" w:cs="Arial"/>
        </w:rPr>
        <w:t xml:space="preserve">durante el ejercicio fiscal en curso se trabajará para depurar saldos conforme a los </w:t>
      </w:r>
      <w:r w:rsidRPr="00EF3DC2">
        <w:rPr>
          <w:rFonts w:ascii="Arial" w:hAnsi="Arial" w:cs="Arial"/>
          <w:i/>
        </w:rPr>
        <w:t>“LINEAMIENTOS GENERALES PARA LA DEPURACIÓN Y CANCELACIÓN DE SALDOS CONTABLES PARA EL PODER EJECUTIVO Y SUS ENTIDADES”</w:t>
      </w:r>
      <w:r w:rsidRPr="00EF3DC2">
        <w:rPr>
          <w:rFonts w:ascii="Arial" w:hAnsi="Arial" w:cs="Arial"/>
        </w:rPr>
        <w:t>.</w:t>
      </w:r>
    </w:p>
    <w:p w:rsidR="000E4B30" w:rsidRDefault="000E4B30" w:rsidP="000E4B30">
      <w:pPr>
        <w:jc w:val="both"/>
        <w:rPr>
          <w:rFonts w:ascii="Arial" w:hAnsi="Arial" w:cs="Arial"/>
        </w:rPr>
      </w:pPr>
    </w:p>
    <w:p w:rsidR="000E4B30" w:rsidRDefault="000E4B30" w:rsidP="000E4B30">
      <w:pPr>
        <w:jc w:val="both"/>
        <w:rPr>
          <w:rFonts w:ascii="Arial" w:hAnsi="Arial" w:cs="Arial"/>
        </w:rPr>
      </w:pPr>
    </w:p>
    <w:p w:rsidR="000E4B30" w:rsidRPr="00427010" w:rsidRDefault="000E4B30" w:rsidP="000E4B30">
      <w:pPr>
        <w:pStyle w:val="Prrafodelista"/>
        <w:numPr>
          <w:ilvl w:val="0"/>
          <w:numId w:val="4"/>
        </w:numPr>
        <w:spacing w:after="200" w:line="276" w:lineRule="auto"/>
        <w:jc w:val="both"/>
        <w:rPr>
          <w:rFonts w:ascii="Arial" w:hAnsi="Arial" w:cs="Arial"/>
        </w:rPr>
      </w:pPr>
      <w:r w:rsidRPr="00427010">
        <w:rPr>
          <w:rFonts w:ascii="Arial" w:hAnsi="Arial" w:cs="Arial"/>
          <w:b/>
        </w:rPr>
        <w:t>Información sobre la Deuda y el Reporte Analítico de la Deuda</w:t>
      </w:r>
    </w:p>
    <w:p w:rsidR="000E4B30" w:rsidRDefault="000E4B30" w:rsidP="000E4B30">
      <w:pPr>
        <w:pStyle w:val="Prrafodelista"/>
        <w:ind w:left="360"/>
        <w:jc w:val="both"/>
        <w:rPr>
          <w:rFonts w:ascii="Arial" w:hAnsi="Arial" w:cs="Arial"/>
        </w:rPr>
      </w:pPr>
      <w:r w:rsidRPr="00183F27">
        <w:rPr>
          <w:rFonts w:ascii="Arial" w:hAnsi="Arial" w:cs="Arial"/>
        </w:rPr>
        <w:t>No se tiene deuda pública.</w:t>
      </w:r>
    </w:p>
    <w:p w:rsidR="000E4B30" w:rsidRDefault="000E4B30" w:rsidP="000E4B30">
      <w:pPr>
        <w:pStyle w:val="Prrafodelista"/>
        <w:ind w:left="360"/>
        <w:jc w:val="both"/>
        <w:rPr>
          <w:rFonts w:ascii="Arial" w:hAnsi="Arial" w:cs="Arial"/>
        </w:rPr>
      </w:pPr>
    </w:p>
    <w:p w:rsidR="000E4B30" w:rsidRPr="00183F27" w:rsidRDefault="000E4B30" w:rsidP="000E4B30">
      <w:pPr>
        <w:pStyle w:val="Prrafodelista"/>
        <w:numPr>
          <w:ilvl w:val="0"/>
          <w:numId w:val="4"/>
        </w:numPr>
        <w:spacing w:after="200"/>
        <w:jc w:val="both"/>
        <w:rPr>
          <w:rFonts w:ascii="Arial" w:hAnsi="Arial" w:cs="Arial"/>
          <w:b/>
        </w:rPr>
      </w:pPr>
      <w:r w:rsidRPr="00183F27">
        <w:rPr>
          <w:rFonts w:ascii="Arial" w:hAnsi="Arial" w:cs="Arial"/>
          <w:b/>
        </w:rPr>
        <w:t xml:space="preserve">Calificaciones otorgadas </w:t>
      </w:r>
    </w:p>
    <w:p w:rsidR="000E4B30" w:rsidRDefault="000E4B30" w:rsidP="000E4B30">
      <w:pPr>
        <w:pStyle w:val="Prrafodelista"/>
        <w:ind w:left="360"/>
        <w:jc w:val="both"/>
        <w:rPr>
          <w:rFonts w:ascii="Arial" w:hAnsi="Arial" w:cs="Arial"/>
        </w:rPr>
      </w:pPr>
      <w:r w:rsidRPr="00183F27">
        <w:rPr>
          <w:rFonts w:ascii="Arial" w:hAnsi="Arial" w:cs="Arial"/>
        </w:rPr>
        <w:lastRenderedPageBreak/>
        <w:t>No ha sido sujeta la UCEMICH a una calificación crediticia.</w:t>
      </w:r>
    </w:p>
    <w:p w:rsidR="000E4B30" w:rsidRDefault="000E4B30" w:rsidP="000E4B30">
      <w:pPr>
        <w:pStyle w:val="Prrafodelista"/>
        <w:ind w:left="360"/>
        <w:jc w:val="both"/>
        <w:rPr>
          <w:rFonts w:ascii="Arial" w:hAnsi="Arial" w:cs="Arial"/>
        </w:rPr>
      </w:pPr>
    </w:p>
    <w:p w:rsidR="000E4B30" w:rsidRPr="00183F27" w:rsidRDefault="000E4B30" w:rsidP="000E4B30">
      <w:pPr>
        <w:pStyle w:val="Prrafodelista"/>
        <w:numPr>
          <w:ilvl w:val="0"/>
          <w:numId w:val="4"/>
        </w:numPr>
        <w:spacing w:after="200"/>
        <w:jc w:val="both"/>
        <w:rPr>
          <w:rFonts w:ascii="Arial" w:hAnsi="Arial" w:cs="Arial"/>
        </w:rPr>
      </w:pPr>
      <w:r w:rsidRPr="00183F27">
        <w:rPr>
          <w:rFonts w:ascii="Arial" w:hAnsi="Arial" w:cs="Arial"/>
          <w:b/>
        </w:rPr>
        <w:t>Proceso de Mejora</w:t>
      </w:r>
    </w:p>
    <w:p w:rsidR="000E4B30" w:rsidRPr="00183F27" w:rsidRDefault="000E4B30" w:rsidP="000E4B30">
      <w:pPr>
        <w:pStyle w:val="Prrafodelista"/>
        <w:numPr>
          <w:ilvl w:val="1"/>
          <w:numId w:val="4"/>
        </w:numPr>
        <w:spacing w:after="200"/>
        <w:jc w:val="both"/>
        <w:rPr>
          <w:rFonts w:ascii="Arial" w:hAnsi="Arial" w:cs="Arial"/>
        </w:rPr>
      </w:pPr>
      <w:r w:rsidRPr="00183F27">
        <w:rPr>
          <w:rFonts w:ascii="Arial" w:hAnsi="Arial" w:cs="Arial"/>
          <w:i/>
        </w:rPr>
        <w:t>Principales políticas de control interno.</w:t>
      </w:r>
    </w:p>
    <w:p w:rsidR="000E4B30" w:rsidRPr="00183F27" w:rsidRDefault="000E4B30" w:rsidP="000E4B30">
      <w:pPr>
        <w:pStyle w:val="Prrafodelista"/>
        <w:jc w:val="both"/>
        <w:rPr>
          <w:rFonts w:ascii="Arial" w:hAnsi="Arial" w:cs="Arial"/>
        </w:rPr>
      </w:pPr>
      <w:r w:rsidRPr="00183F27">
        <w:rPr>
          <w:rFonts w:ascii="Arial" w:hAnsi="Arial" w:cs="Arial"/>
        </w:rPr>
        <w:t xml:space="preserve">Se realizan conciliaciones entre las diferentes áreas administrativas: activo fijo; recursos humanos; viáticos y parque vehicular; compras y licitaciones; recursos propios y mantenimiento. </w:t>
      </w:r>
    </w:p>
    <w:p w:rsidR="000E4B30" w:rsidRPr="00183F27" w:rsidRDefault="000E4B30" w:rsidP="000E4B30">
      <w:pPr>
        <w:pStyle w:val="Prrafodelista"/>
        <w:jc w:val="both"/>
        <w:rPr>
          <w:rFonts w:ascii="Arial" w:hAnsi="Arial" w:cs="Arial"/>
        </w:rPr>
      </w:pPr>
    </w:p>
    <w:p w:rsidR="000E4B30" w:rsidRPr="00183F27" w:rsidRDefault="000E4B30" w:rsidP="000E4B30">
      <w:pPr>
        <w:pStyle w:val="Prrafodelista"/>
        <w:jc w:val="both"/>
        <w:rPr>
          <w:rFonts w:ascii="Arial" w:hAnsi="Arial" w:cs="Arial"/>
        </w:rPr>
      </w:pPr>
      <w:r>
        <w:rPr>
          <w:rFonts w:ascii="Arial" w:hAnsi="Arial" w:cs="Arial"/>
        </w:rPr>
        <w:t>Se encuentra en proceso el sistema para la automatización del área de compras y licitaciones.</w:t>
      </w:r>
    </w:p>
    <w:p w:rsidR="000E4B30" w:rsidRPr="00183F27" w:rsidRDefault="000E4B30" w:rsidP="000E4B30">
      <w:pPr>
        <w:pStyle w:val="Prrafodelista"/>
        <w:jc w:val="both"/>
        <w:rPr>
          <w:rFonts w:ascii="Arial" w:hAnsi="Arial" w:cs="Arial"/>
        </w:rPr>
      </w:pPr>
    </w:p>
    <w:p w:rsidR="000E4B30" w:rsidRPr="00183F27" w:rsidRDefault="000E4B30" w:rsidP="000E4B30">
      <w:pPr>
        <w:pStyle w:val="Prrafodelista"/>
        <w:numPr>
          <w:ilvl w:val="1"/>
          <w:numId w:val="4"/>
        </w:numPr>
        <w:spacing w:after="200"/>
        <w:jc w:val="both"/>
        <w:rPr>
          <w:rFonts w:ascii="Arial" w:hAnsi="Arial" w:cs="Arial"/>
          <w:i/>
        </w:rPr>
      </w:pPr>
      <w:r w:rsidRPr="00183F27">
        <w:rPr>
          <w:rFonts w:ascii="Arial" w:hAnsi="Arial" w:cs="Arial"/>
          <w:i/>
        </w:rPr>
        <w:t>Medidas de desempeño financiero, metas y alcance.</w:t>
      </w:r>
    </w:p>
    <w:p w:rsidR="000E4B30" w:rsidRPr="00822577" w:rsidRDefault="000E4B30" w:rsidP="000E4B30">
      <w:pPr>
        <w:pStyle w:val="Prrafodelista"/>
        <w:jc w:val="both"/>
        <w:rPr>
          <w:rFonts w:ascii="Arial" w:hAnsi="Arial" w:cs="Arial"/>
        </w:rPr>
      </w:pPr>
      <w:r w:rsidRPr="00183F27">
        <w:rPr>
          <w:rFonts w:ascii="Arial" w:hAnsi="Arial" w:cs="Arial"/>
        </w:rPr>
        <w:t>En el área de Planeación, se cuenta con el</w:t>
      </w:r>
      <w:r>
        <w:rPr>
          <w:rFonts w:ascii="Arial" w:hAnsi="Arial" w:cs="Arial"/>
        </w:rPr>
        <w:t xml:space="preserve"> sistema POA 2025</w:t>
      </w:r>
      <w:r w:rsidRPr="00183F27">
        <w:rPr>
          <w:rFonts w:ascii="Arial" w:hAnsi="Arial" w:cs="Arial"/>
        </w:rPr>
        <w:t xml:space="preserve"> en el que se </w:t>
      </w:r>
      <w:r w:rsidRPr="00822577">
        <w:rPr>
          <w:rFonts w:ascii="Arial" w:hAnsi="Arial" w:cs="Arial"/>
        </w:rPr>
        <w:t xml:space="preserve">registran las solicitudes de requisiciones de materiales, bienes y/o servicios. </w:t>
      </w:r>
    </w:p>
    <w:p w:rsidR="000E4B30" w:rsidRPr="00822577" w:rsidRDefault="000E4B30" w:rsidP="000E4B30">
      <w:pPr>
        <w:pStyle w:val="Prrafodelista"/>
        <w:jc w:val="both"/>
        <w:rPr>
          <w:rFonts w:ascii="Arial" w:hAnsi="Arial" w:cs="Arial"/>
        </w:rPr>
      </w:pPr>
    </w:p>
    <w:p w:rsidR="000E4B30" w:rsidRDefault="000E4B30" w:rsidP="000E4B30">
      <w:pPr>
        <w:pStyle w:val="Prrafodelista"/>
        <w:numPr>
          <w:ilvl w:val="1"/>
          <w:numId w:val="4"/>
        </w:numPr>
        <w:spacing w:after="200" w:line="276" w:lineRule="auto"/>
        <w:jc w:val="both"/>
        <w:rPr>
          <w:rFonts w:ascii="Arial" w:hAnsi="Arial" w:cs="Arial"/>
          <w:i/>
        </w:rPr>
      </w:pPr>
      <w:r w:rsidRPr="00822577">
        <w:rPr>
          <w:rFonts w:ascii="Arial" w:hAnsi="Arial" w:cs="Arial"/>
          <w:i/>
        </w:rPr>
        <w:t>Medidas de seguimiento.</w:t>
      </w:r>
    </w:p>
    <w:p w:rsidR="000E4B30" w:rsidRDefault="000E4B30" w:rsidP="000E4B30">
      <w:pPr>
        <w:pStyle w:val="Prrafodelista"/>
        <w:jc w:val="both"/>
        <w:rPr>
          <w:rFonts w:ascii="Arial" w:hAnsi="Arial" w:cs="Arial"/>
        </w:rPr>
      </w:pPr>
      <w:r w:rsidRPr="00822577">
        <w:rPr>
          <w:rFonts w:ascii="Arial" w:hAnsi="Arial" w:cs="Arial"/>
        </w:rPr>
        <w:t xml:space="preserve">Se encuentra en proceso </w:t>
      </w:r>
      <w:r>
        <w:rPr>
          <w:rFonts w:ascii="Arial" w:hAnsi="Arial" w:cs="Arial"/>
        </w:rPr>
        <w:t>la elaboración de lineamientos para la determinación de bienes a registrarse en activo fijo.</w:t>
      </w:r>
    </w:p>
    <w:p w:rsidR="000E4B30" w:rsidRPr="00673647" w:rsidRDefault="000E4B30" w:rsidP="000E4B30">
      <w:pPr>
        <w:jc w:val="both"/>
        <w:rPr>
          <w:rFonts w:ascii="Arial" w:hAnsi="Arial" w:cs="Arial"/>
        </w:rPr>
      </w:pPr>
    </w:p>
    <w:p w:rsidR="000E4B30" w:rsidRPr="00183F27" w:rsidRDefault="000E4B30" w:rsidP="000E4B30">
      <w:pPr>
        <w:pStyle w:val="Prrafodelista"/>
        <w:numPr>
          <w:ilvl w:val="0"/>
          <w:numId w:val="4"/>
        </w:numPr>
        <w:spacing w:after="200"/>
        <w:jc w:val="both"/>
        <w:rPr>
          <w:rFonts w:ascii="Arial" w:hAnsi="Arial" w:cs="Arial"/>
        </w:rPr>
      </w:pPr>
      <w:r w:rsidRPr="00183F27">
        <w:rPr>
          <w:rFonts w:ascii="Arial" w:hAnsi="Arial" w:cs="Arial"/>
          <w:b/>
        </w:rPr>
        <w:t>Información por segmentos</w:t>
      </w:r>
    </w:p>
    <w:p w:rsidR="000E4B30" w:rsidRPr="00183F27" w:rsidRDefault="000E4B30" w:rsidP="000E4B30">
      <w:pPr>
        <w:pStyle w:val="Prrafodelista"/>
        <w:ind w:left="360"/>
        <w:jc w:val="both"/>
        <w:rPr>
          <w:rFonts w:ascii="Arial" w:hAnsi="Arial" w:cs="Arial"/>
        </w:rPr>
      </w:pPr>
      <w:r w:rsidRPr="00183F27">
        <w:rPr>
          <w:rFonts w:ascii="Arial" w:hAnsi="Arial" w:cs="Arial"/>
        </w:rPr>
        <w:t>No hubo información relevante para considerarse en este punto.</w:t>
      </w:r>
    </w:p>
    <w:p w:rsidR="000E4B30" w:rsidRPr="00183F27" w:rsidRDefault="000E4B30" w:rsidP="000E4B30">
      <w:pPr>
        <w:pStyle w:val="Prrafodelista"/>
        <w:ind w:left="360"/>
        <w:jc w:val="both"/>
        <w:rPr>
          <w:rFonts w:ascii="Arial" w:hAnsi="Arial" w:cs="Arial"/>
        </w:rPr>
      </w:pPr>
    </w:p>
    <w:p w:rsidR="000E4B30" w:rsidRPr="00183F27" w:rsidRDefault="000E4B30" w:rsidP="000E4B30">
      <w:pPr>
        <w:pStyle w:val="Prrafodelista"/>
        <w:numPr>
          <w:ilvl w:val="0"/>
          <w:numId w:val="4"/>
        </w:numPr>
        <w:spacing w:after="200"/>
        <w:jc w:val="both"/>
        <w:rPr>
          <w:rFonts w:ascii="Arial" w:hAnsi="Arial" w:cs="Arial"/>
        </w:rPr>
      </w:pPr>
      <w:r w:rsidRPr="00183F27">
        <w:rPr>
          <w:rFonts w:ascii="Arial" w:hAnsi="Arial" w:cs="Arial"/>
          <w:b/>
        </w:rPr>
        <w:t>Eventos posteriores al cierre</w:t>
      </w:r>
    </w:p>
    <w:p w:rsidR="000E4B30" w:rsidRDefault="000E4B30" w:rsidP="000E4B30">
      <w:pPr>
        <w:pStyle w:val="Prrafodelista"/>
        <w:ind w:left="360"/>
        <w:jc w:val="both"/>
        <w:rPr>
          <w:rFonts w:ascii="Arial" w:hAnsi="Arial" w:cs="Arial"/>
        </w:rPr>
      </w:pPr>
      <w:r>
        <w:rPr>
          <w:rFonts w:ascii="Arial" w:hAnsi="Arial" w:cs="Arial"/>
        </w:rPr>
        <w:t>Conforme a la normativa aplicable se realizaron en tiempo y forma los reintegros de recursos no ejercidos o comprometidos al 31 de diciembre del 2024, por lo que durante el mes de enero se verá reflejada la disminución en bancos.</w:t>
      </w:r>
    </w:p>
    <w:p w:rsidR="000E4B30" w:rsidRPr="00183F27" w:rsidRDefault="000E4B30" w:rsidP="000E4B30">
      <w:pPr>
        <w:pStyle w:val="Prrafodelista"/>
        <w:ind w:left="360"/>
        <w:jc w:val="both"/>
        <w:rPr>
          <w:rFonts w:ascii="Arial" w:hAnsi="Arial" w:cs="Arial"/>
        </w:rPr>
      </w:pPr>
    </w:p>
    <w:p w:rsidR="000E4B30" w:rsidRPr="00183F27" w:rsidRDefault="000E4B30" w:rsidP="000E4B30">
      <w:pPr>
        <w:pStyle w:val="Prrafodelista"/>
        <w:numPr>
          <w:ilvl w:val="0"/>
          <w:numId w:val="4"/>
        </w:numPr>
        <w:spacing w:after="200"/>
        <w:jc w:val="both"/>
        <w:rPr>
          <w:rFonts w:ascii="Arial" w:hAnsi="Arial" w:cs="Arial"/>
        </w:rPr>
      </w:pPr>
      <w:r w:rsidRPr="00183F27">
        <w:rPr>
          <w:rFonts w:ascii="Arial" w:hAnsi="Arial" w:cs="Arial"/>
          <w:b/>
        </w:rPr>
        <w:t>Partes Relacionadas</w:t>
      </w:r>
    </w:p>
    <w:p w:rsidR="000E4B30" w:rsidRDefault="000E4B30" w:rsidP="000E4B30">
      <w:pPr>
        <w:pStyle w:val="Prrafodelista"/>
        <w:ind w:left="360"/>
        <w:jc w:val="both"/>
        <w:rPr>
          <w:rFonts w:ascii="Arial" w:hAnsi="Arial" w:cs="Arial"/>
        </w:rPr>
      </w:pPr>
      <w:r w:rsidRPr="00183F27">
        <w:rPr>
          <w:rFonts w:ascii="Arial" w:hAnsi="Arial" w:cs="Arial"/>
        </w:rPr>
        <w:t>No existen partes relacionadas que pudieran ejercer influencia significativa sobre la toma de decisiones financieras y operativas de la UCEMICH.</w:t>
      </w:r>
    </w:p>
    <w:p w:rsidR="000E4B30" w:rsidRDefault="000E4B30" w:rsidP="000E4B30">
      <w:pPr>
        <w:pStyle w:val="Prrafodelista"/>
        <w:ind w:left="360"/>
        <w:jc w:val="both"/>
        <w:rPr>
          <w:rFonts w:ascii="Arial" w:hAnsi="Arial"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344"/>
      </w:tblGrid>
      <w:tr w:rsidR="000E4B30" w:rsidRPr="00B2011E" w:rsidTr="00F34562">
        <w:trPr>
          <w:trHeight w:val="699"/>
          <w:jc w:val="center"/>
        </w:trPr>
        <w:tc>
          <w:tcPr>
            <w:tcW w:w="4376" w:type="dxa"/>
          </w:tcPr>
          <w:p w:rsidR="000E4B30" w:rsidRPr="00B2011E" w:rsidRDefault="000E4B30" w:rsidP="00F34562">
            <w:pPr>
              <w:jc w:val="center"/>
              <w:rPr>
                <w:rFonts w:ascii="Arial" w:hAnsi="Arial" w:cs="Arial"/>
                <w:sz w:val="20"/>
              </w:rPr>
            </w:pPr>
            <w:r w:rsidRPr="00B2011E">
              <w:rPr>
                <w:rFonts w:ascii="Arial" w:hAnsi="Arial" w:cs="Arial"/>
                <w:sz w:val="20"/>
              </w:rPr>
              <w:t xml:space="preserve">ELABORÓ </w:t>
            </w:r>
          </w:p>
          <w:p w:rsidR="000E4B30" w:rsidRDefault="000E4B30" w:rsidP="00F34562">
            <w:pPr>
              <w:rPr>
                <w:rFonts w:ascii="Arial" w:hAnsi="Arial" w:cs="Arial"/>
                <w:sz w:val="20"/>
              </w:rPr>
            </w:pPr>
          </w:p>
          <w:p w:rsidR="000E4B30" w:rsidRDefault="000E4B30" w:rsidP="00F34562">
            <w:pPr>
              <w:rPr>
                <w:rFonts w:ascii="Arial" w:hAnsi="Arial" w:cs="Arial"/>
                <w:sz w:val="20"/>
              </w:rPr>
            </w:pPr>
          </w:p>
          <w:p w:rsidR="000E4B30" w:rsidRDefault="000E4B30" w:rsidP="00F34562">
            <w:pPr>
              <w:rPr>
                <w:rFonts w:ascii="Arial" w:hAnsi="Arial" w:cs="Arial"/>
                <w:sz w:val="20"/>
              </w:rPr>
            </w:pPr>
          </w:p>
          <w:p w:rsidR="000E4B30" w:rsidRPr="00B2011E" w:rsidRDefault="000E4B30" w:rsidP="00F34562">
            <w:pPr>
              <w:jc w:val="center"/>
              <w:rPr>
                <w:rFonts w:ascii="Arial" w:hAnsi="Arial" w:cs="Arial"/>
                <w:b/>
                <w:sz w:val="20"/>
              </w:rPr>
            </w:pPr>
          </w:p>
        </w:tc>
        <w:tc>
          <w:tcPr>
            <w:tcW w:w="4344" w:type="dxa"/>
          </w:tcPr>
          <w:p w:rsidR="000E4B30" w:rsidRPr="00B2011E" w:rsidRDefault="000E4B30" w:rsidP="00F34562">
            <w:pPr>
              <w:ind w:left="708" w:hanging="708"/>
              <w:jc w:val="center"/>
              <w:rPr>
                <w:rFonts w:ascii="Arial" w:hAnsi="Arial" w:cs="Arial"/>
                <w:sz w:val="20"/>
              </w:rPr>
            </w:pPr>
            <w:r w:rsidRPr="00B2011E">
              <w:rPr>
                <w:rFonts w:ascii="Arial" w:hAnsi="Arial" w:cs="Arial"/>
                <w:sz w:val="20"/>
              </w:rPr>
              <w:t>REVISÓ</w:t>
            </w:r>
          </w:p>
        </w:tc>
      </w:tr>
      <w:tr w:rsidR="000E4B30" w:rsidRPr="00B2011E" w:rsidTr="00F34562">
        <w:trPr>
          <w:jc w:val="center"/>
        </w:trPr>
        <w:tc>
          <w:tcPr>
            <w:tcW w:w="4376" w:type="dxa"/>
          </w:tcPr>
          <w:p w:rsidR="000E4B30" w:rsidRPr="00B2011E" w:rsidRDefault="000E4B30" w:rsidP="00F34562">
            <w:pPr>
              <w:jc w:val="center"/>
              <w:rPr>
                <w:rFonts w:ascii="Arial" w:hAnsi="Arial" w:cs="Arial"/>
                <w:b/>
                <w:sz w:val="20"/>
              </w:rPr>
            </w:pPr>
            <w:r>
              <w:rPr>
                <w:rFonts w:ascii="Arial" w:hAnsi="Arial" w:cs="Arial"/>
                <w:b/>
                <w:sz w:val="20"/>
              </w:rPr>
              <w:t>ALICIA LIZBETH HERRERA MARTÍNEZ</w:t>
            </w:r>
          </w:p>
          <w:p w:rsidR="000E4B30" w:rsidRPr="00B2011E" w:rsidRDefault="000E4B30" w:rsidP="00F34562">
            <w:pPr>
              <w:jc w:val="center"/>
              <w:rPr>
                <w:rFonts w:ascii="Arial" w:hAnsi="Arial" w:cs="Arial"/>
                <w:b/>
                <w:sz w:val="20"/>
              </w:rPr>
            </w:pPr>
            <w:r>
              <w:rPr>
                <w:rFonts w:ascii="Arial" w:hAnsi="Arial" w:cs="Arial"/>
                <w:b/>
                <w:sz w:val="20"/>
              </w:rPr>
              <w:t>SECRETARIA</w:t>
            </w:r>
            <w:r w:rsidRPr="00B2011E">
              <w:rPr>
                <w:rFonts w:ascii="Arial" w:hAnsi="Arial" w:cs="Arial"/>
                <w:b/>
                <w:sz w:val="20"/>
              </w:rPr>
              <w:t xml:space="preserve"> DE ADMINISTRACIÓN</w:t>
            </w:r>
          </w:p>
        </w:tc>
        <w:tc>
          <w:tcPr>
            <w:tcW w:w="4344" w:type="dxa"/>
          </w:tcPr>
          <w:p w:rsidR="000E4B30" w:rsidRPr="00B2011E" w:rsidRDefault="000E4B30" w:rsidP="00F34562">
            <w:pPr>
              <w:jc w:val="center"/>
              <w:rPr>
                <w:rFonts w:ascii="Arial" w:hAnsi="Arial" w:cs="Arial"/>
                <w:b/>
                <w:sz w:val="20"/>
              </w:rPr>
            </w:pPr>
            <w:r>
              <w:rPr>
                <w:rFonts w:ascii="Arial" w:hAnsi="Arial" w:cs="Arial"/>
                <w:b/>
                <w:sz w:val="20"/>
              </w:rPr>
              <w:t>GLORIA JANNETH LÓPEZ MERCADO</w:t>
            </w:r>
          </w:p>
          <w:p w:rsidR="000E4B30" w:rsidRPr="00B2011E" w:rsidRDefault="000E4B30" w:rsidP="00F34562">
            <w:pPr>
              <w:jc w:val="center"/>
              <w:rPr>
                <w:rFonts w:ascii="Arial" w:hAnsi="Arial" w:cs="Arial"/>
                <w:b/>
                <w:sz w:val="20"/>
              </w:rPr>
            </w:pPr>
            <w:r w:rsidRPr="00B2011E">
              <w:rPr>
                <w:rFonts w:ascii="Arial" w:hAnsi="Arial" w:cs="Arial"/>
                <w:b/>
                <w:sz w:val="20"/>
              </w:rPr>
              <w:t>RECTOR</w:t>
            </w:r>
            <w:r>
              <w:rPr>
                <w:rFonts w:ascii="Arial" w:hAnsi="Arial" w:cs="Arial"/>
                <w:b/>
                <w:sz w:val="20"/>
              </w:rPr>
              <w:t>A</w:t>
            </w:r>
          </w:p>
        </w:tc>
      </w:tr>
    </w:tbl>
    <w:p w:rsidR="000E4B30" w:rsidRDefault="000E4B30" w:rsidP="000E4B30">
      <w:pPr>
        <w:jc w:val="both"/>
        <w:rPr>
          <w:rFonts w:ascii="Arial" w:hAnsi="Arial" w:cs="Arial"/>
          <w:sz w:val="20"/>
        </w:rPr>
      </w:pPr>
    </w:p>
    <w:p w:rsidR="000E4B30" w:rsidRDefault="000E4B30" w:rsidP="000E4B30">
      <w:pPr>
        <w:jc w:val="both"/>
        <w:rPr>
          <w:color w:val="000000"/>
          <w:sz w:val="16"/>
          <w:szCs w:val="16"/>
        </w:rPr>
      </w:pPr>
    </w:p>
    <w:p w:rsidR="000E4B30" w:rsidRPr="00427010" w:rsidRDefault="000E4B30" w:rsidP="000E4B30">
      <w:pPr>
        <w:jc w:val="both"/>
        <w:rPr>
          <w:b/>
          <w:sz w:val="18"/>
          <w:szCs w:val="16"/>
        </w:rPr>
      </w:pPr>
      <w:r w:rsidRPr="00427010">
        <w:rPr>
          <w:b/>
          <w:color w:val="000000"/>
          <w:sz w:val="18"/>
          <w:szCs w:val="16"/>
        </w:rPr>
        <w:t>“Bajo protesta de decir verdad declaramos que los Estados Financieros y sus notas, son razonablemente correctos y son responsabilidad del emisor”</w:t>
      </w:r>
    </w:p>
    <w:p w:rsidR="000E4B30" w:rsidRPr="00D86A01" w:rsidRDefault="000E4B30" w:rsidP="000E4B30">
      <w:pPr>
        <w:tabs>
          <w:tab w:val="left" w:pos="3105"/>
        </w:tabs>
        <w:rPr>
          <w:rFonts w:ascii="Agency FB" w:hAnsi="Agency FB"/>
          <w:lang w:val="es-ES_tradnl"/>
        </w:rPr>
      </w:pPr>
    </w:p>
    <w:p w:rsidR="000E4B30" w:rsidRDefault="000E4B30">
      <w:pPr>
        <w:spacing w:after="160" w:line="259" w:lineRule="auto"/>
        <w:rPr>
          <w:lang w:val="es-ES_tradnl"/>
        </w:rPr>
      </w:pPr>
      <w:r>
        <w:rPr>
          <w:lang w:val="es-ES_tradnl"/>
        </w:rPr>
        <w:br w:type="page"/>
      </w:r>
    </w:p>
    <w:p w:rsidR="000E4B30" w:rsidRPr="00BF06AD" w:rsidRDefault="000E4B30" w:rsidP="000E4B30">
      <w:pPr>
        <w:pStyle w:val="Prrafodelista"/>
        <w:ind w:left="360"/>
        <w:jc w:val="center"/>
        <w:rPr>
          <w:b/>
          <w:sz w:val="28"/>
          <w:szCs w:val="28"/>
        </w:rPr>
      </w:pPr>
      <w:r w:rsidRPr="00BF06AD">
        <w:rPr>
          <w:b/>
          <w:sz w:val="28"/>
          <w:szCs w:val="28"/>
        </w:rPr>
        <w:lastRenderedPageBreak/>
        <w:t xml:space="preserve">UNIVERSIDAD DE LA CIÉNEGA </w:t>
      </w:r>
    </w:p>
    <w:p w:rsidR="000E4B30" w:rsidRPr="00BF06AD" w:rsidRDefault="000E4B30" w:rsidP="000E4B30">
      <w:pPr>
        <w:pStyle w:val="Prrafodelista"/>
        <w:ind w:left="360"/>
        <w:jc w:val="center"/>
        <w:rPr>
          <w:b/>
          <w:sz w:val="28"/>
          <w:szCs w:val="28"/>
        </w:rPr>
      </w:pPr>
      <w:r w:rsidRPr="00BF06AD">
        <w:rPr>
          <w:b/>
          <w:sz w:val="28"/>
          <w:szCs w:val="28"/>
        </w:rPr>
        <w:t>DEL ESTADO DE MICHOACÁN DE OCAMPO</w:t>
      </w:r>
    </w:p>
    <w:p w:rsidR="000E4B30" w:rsidRDefault="000E4B30" w:rsidP="000E4B30">
      <w:pPr>
        <w:tabs>
          <w:tab w:val="left" w:pos="1275"/>
          <w:tab w:val="center" w:pos="4773"/>
        </w:tabs>
        <w:jc w:val="center"/>
        <w:rPr>
          <w:b/>
          <w:szCs w:val="28"/>
        </w:rPr>
      </w:pPr>
    </w:p>
    <w:p w:rsidR="000E4B30" w:rsidRPr="009C1F58" w:rsidRDefault="000E4B30" w:rsidP="000E4B30">
      <w:pPr>
        <w:tabs>
          <w:tab w:val="left" w:pos="1275"/>
          <w:tab w:val="center" w:pos="4773"/>
        </w:tabs>
        <w:jc w:val="center"/>
        <w:rPr>
          <w:b/>
          <w:szCs w:val="28"/>
        </w:rPr>
      </w:pPr>
      <w:r w:rsidRPr="009C1F58">
        <w:rPr>
          <w:b/>
          <w:szCs w:val="28"/>
        </w:rPr>
        <w:t>NOTAS A LOS ESTADOS FINANCIEROS</w:t>
      </w:r>
      <w:r>
        <w:rPr>
          <w:b/>
          <w:szCs w:val="28"/>
        </w:rPr>
        <w:t xml:space="preserve"> DICIEMBRE 2025</w:t>
      </w:r>
    </w:p>
    <w:p w:rsidR="000E4B30" w:rsidRDefault="000E4B30" w:rsidP="000E4B30">
      <w:pPr>
        <w:tabs>
          <w:tab w:val="left" w:pos="1275"/>
          <w:tab w:val="center" w:pos="4773"/>
        </w:tabs>
        <w:jc w:val="center"/>
        <w:rPr>
          <w:b/>
          <w:szCs w:val="28"/>
        </w:rPr>
      </w:pPr>
    </w:p>
    <w:p w:rsidR="000E4B30" w:rsidRDefault="000E4B30" w:rsidP="000E4B30">
      <w:pPr>
        <w:tabs>
          <w:tab w:val="left" w:pos="1275"/>
          <w:tab w:val="center" w:pos="4773"/>
        </w:tabs>
        <w:jc w:val="center"/>
        <w:rPr>
          <w:b/>
          <w:szCs w:val="28"/>
        </w:rPr>
      </w:pPr>
    </w:p>
    <w:p w:rsidR="000E4B30" w:rsidRDefault="000E4B30" w:rsidP="000E4B30">
      <w:pPr>
        <w:tabs>
          <w:tab w:val="left" w:pos="1275"/>
          <w:tab w:val="center" w:pos="4773"/>
        </w:tabs>
        <w:jc w:val="center"/>
        <w:rPr>
          <w:b/>
          <w:szCs w:val="28"/>
        </w:rPr>
      </w:pPr>
    </w:p>
    <w:p w:rsidR="000E4B30" w:rsidRDefault="000E4B30" w:rsidP="000E4B30">
      <w:pPr>
        <w:tabs>
          <w:tab w:val="left" w:pos="1275"/>
          <w:tab w:val="center" w:pos="4773"/>
        </w:tabs>
        <w:jc w:val="center"/>
        <w:rPr>
          <w:b/>
          <w:szCs w:val="28"/>
        </w:rPr>
      </w:pPr>
    </w:p>
    <w:p w:rsidR="000E4B30" w:rsidRDefault="000E4B30" w:rsidP="000E4B30">
      <w:pPr>
        <w:pStyle w:val="Prrafodelista"/>
        <w:numPr>
          <w:ilvl w:val="0"/>
          <w:numId w:val="9"/>
        </w:numPr>
        <w:rPr>
          <w:b/>
        </w:rPr>
      </w:pPr>
      <w:r w:rsidRPr="00484588">
        <w:rPr>
          <w:b/>
        </w:rPr>
        <w:t xml:space="preserve">NOTAS DE </w:t>
      </w:r>
      <w:r>
        <w:rPr>
          <w:b/>
        </w:rPr>
        <w:t>DESGLOCE</w:t>
      </w:r>
    </w:p>
    <w:p w:rsidR="000E4B30" w:rsidRDefault="000E4B30" w:rsidP="000E4B30">
      <w:pPr>
        <w:rPr>
          <w:b/>
        </w:rPr>
      </w:pPr>
    </w:p>
    <w:p w:rsidR="000E4B30" w:rsidRPr="00DE13AD" w:rsidRDefault="000E4B30" w:rsidP="000E4B30">
      <w:r w:rsidRPr="00DE13AD">
        <w:t>(Cifras expresadas en pesos</w:t>
      </w:r>
      <w:r>
        <w:t xml:space="preserve"> mexicanos MXN</w:t>
      </w:r>
      <w:r w:rsidRPr="00DE13AD">
        <w:t>)</w:t>
      </w:r>
    </w:p>
    <w:p w:rsidR="000E4B30" w:rsidRDefault="000E4B30" w:rsidP="000E4B30">
      <w:pPr>
        <w:tabs>
          <w:tab w:val="left" w:pos="1275"/>
          <w:tab w:val="center" w:pos="4773"/>
        </w:tabs>
        <w:jc w:val="center"/>
        <w:rPr>
          <w:b/>
          <w:sz w:val="22"/>
          <w:szCs w:val="23"/>
        </w:rPr>
      </w:pPr>
    </w:p>
    <w:p w:rsidR="000E4B30" w:rsidRPr="003D0952" w:rsidRDefault="000E4B30" w:rsidP="000E4B30">
      <w:pPr>
        <w:pStyle w:val="Prrafodelista"/>
        <w:numPr>
          <w:ilvl w:val="0"/>
          <w:numId w:val="11"/>
        </w:numPr>
        <w:tabs>
          <w:tab w:val="left" w:pos="1275"/>
          <w:tab w:val="center" w:pos="4773"/>
        </w:tabs>
        <w:spacing w:after="200" w:line="276" w:lineRule="auto"/>
        <w:ind w:left="709"/>
        <w:rPr>
          <w:b/>
          <w:szCs w:val="23"/>
        </w:rPr>
      </w:pPr>
      <w:r w:rsidRPr="003D0952">
        <w:rPr>
          <w:b/>
          <w:szCs w:val="23"/>
        </w:rPr>
        <w:t>N</w:t>
      </w:r>
      <w:r>
        <w:rPr>
          <w:b/>
          <w:szCs w:val="23"/>
        </w:rPr>
        <w:t>otas al Estado de Situación Financiera</w:t>
      </w:r>
    </w:p>
    <w:p w:rsidR="000E4B30" w:rsidRPr="009C1F58" w:rsidRDefault="000E4B30" w:rsidP="000E4B30">
      <w:pPr>
        <w:jc w:val="both"/>
        <w:rPr>
          <w:b/>
          <w:sz w:val="22"/>
          <w:szCs w:val="23"/>
        </w:rPr>
      </w:pPr>
    </w:p>
    <w:p w:rsidR="000E4B30" w:rsidRDefault="000E4B30" w:rsidP="000E4B30">
      <w:pPr>
        <w:jc w:val="both"/>
        <w:rPr>
          <w:b/>
          <w:sz w:val="22"/>
          <w:szCs w:val="23"/>
        </w:rPr>
      </w:pPr>
      <w:r w:rsidRPr="009C1F58">
        <w:rPr>
          <w:b/>
          <w:sz w:val="22"/>
          <w:szCs w:val="23"/>
        </w:rPr>
        <w:tab/>
      </w:r>
    </w:p>
    <w:p w:rsidR="000E4B30" w:rsidRPr="009C1F58" w:rsidRDefault="000E4B30" w:rsidP="000E4B30">
      <w:pPr>
        <w:jc w:val="center"/>
        <w:rPr>
          <w:b/>
          <w:sz w:val="22"/>
          <w:szCs w:val="23"/>
        </w:rPr>
      </w:pPr>
      <w:r w:rsidRPr="009C1F58">
        <w:rPr>
          <w:b/>
          <w:sz w:val="22"/>
          <w:szCs w:val="23"/>
        </w:rPr>
        <w:t xml:space="preserve">Los Estados Financieros del mes de </w:t>
      </w:r>
      <w:r>
        <w:rPr>
          <w:b/>
          <w:sz w:val="22"/>
          <w:szCs w:val="23"/>
        </w:rPr>
        <w:t>DICIEMBRE</w:t>
      </w:r>
      <w:r w:rsidRPr="009C1F58">
        <w:rPr>
          <w:b/>
          <w:sz w:val="22"/>
          <w:szCs w:val="23"/>
        </w:rPr>
        <w:t>, son presentados con las cifras autorizadas de acuerdo al Programa Operativo Anual 202</w:t>
      </w:r>
      <w:r>
        <w:rPr>
          <w:b/>
          <w:sz w:val="22"/>
          <w:szCs w:val="23"/>
        </w:rPr>
        <w:t>5</w:t>
      </w:r>
      <w:r w:rsidRPr="009C1F58">
        <w:rPr>
          <w:b/>
          <w:sz w:val="22"/>
          <w:szCs w:val="23"/>
        </w:rPr>
        <w:t>, ap</w:t>
      </w:r>
      <w:r>
        <w:rPr>
          <w:b/>
          <w:sz w:val="22"/>
          <w:szCs w:val="23"/>
        </w:rPr>
        <w:t>robado por la H. Junta Directiva</w:t>
      </w:r>
      <w:r w:rsidRPr="009C1F58">
        <w:rPr>
          <w:b/>
          <w:sz w:val="22"/>
          <w:szCs w:val="23"/>
        </w:rPr>
        <w:t xml:space="preserve"> en la sesión</w:t>
      </w:r>
      <w:r>
        <w:rPr>
          <w:b/>
          <w:sz w:val="22"/>
          <w:szCs w:val="23"/>
        </w:rPr>
        <w:t xml:space="preserve"> </w:t>
      </w:r>
      <w:r w:rsidRPr="00A84996">
        <w:rPr>
          <w:b/>
          <w:sz w:val="22"/>
          <w:szCs w:val="23"/>
        </w:rPr>
        <w:t>extra</w:t>
      </w:r>
      <w:r>
        <w:rPr>
          <w:b/>
          <w:sz w:val="22"/>
          <w:szCs w:val="23"/>
        </w:rPr>
        <w:t>ordinaria</w:t>
      </w:r>
      <w:r w:rsidRPr="009C1F58">
        <w:rPr>
          <w:b/>
          <w:sz w:val="22"/>
          <w:szCs w:val="23"/>
        </w:rPr>
        <w:t xml:space="preserve"> </w:t>
      </w:r>
      <w:r w:rsidRPr="00A84996">
        <w:rPr>
          <w:b/>
          <w:sz w:val="22"/>
          <w:szCs w:val="23"/>
        </w:rPr>
        <w:t>XXXV</w:t>
      </w:r>
      <w:r w:rsidRPr="009C1F58">
        <w:rPr>
          <w:b/>
          <w:sz w:val="22"/>
          <w:szCs w:val="23"/>
        </w:rPr>
        <w:t xml:space="preserve"> de fecha </w:t>
      </w:r>
      <w:r>
        <w:rPr>
          <w:b/>
          <w:sz w:val="22"/>
          <w:szCs w:val="23"/>
        </w:rPr>
        <w:t xml:space="preserve">20 de marzo de 2025 </w:t>
      </w:r>
      <w:r w:rsidRPr="009C1F58">
        <w:rPr>
          <w:b/>
          <w:sz w:val="22"/>
          <w:szCs w:val="23"/>
        </w:rPr>
        <w:t xml:space="preserve">en los acuerdos </w:t>
      </w:r>
      <w:r w:rsidRPr="00A84996">
        <w:rPr>
          <w:b/>
          <w:sz w:val="22"/>
          <w:szCs w:val="23"/>
        </w:rPr>
        <w:t>S.E.XXXV.20.03.25.</w:t>
      </w:r>
    </w:p>
    <w:p w:rsidR="000E4B30" w:rsidRPr="009C1F58" w:rsidRDefault="000E4B30" w:rsidP="000E4B30">
      <w:pPr>
        <w:jc w:val="both"/>
        <w:rPr>
          <w:b/>
          <w:sz w:val="22"/>
          <w:szCs w:val="23"/>
        </w:rPr>
      </w:pPr>
    </w:p>
    <w:p w:rsidR="000E4B30" w:rsidRPr="009C1F58" w:rsidRDefault="000E4B30" w:rsidP="000E4B30">
      <w:pPr>
        <w:jc w:val="both"/>
        <w:rPr>
          <w:sz w:val="22"/>
          <w:szCs w:val="23"/>
        </w:rPr>
      </w:pPr>
      <w:r w:rsidRPr="009C1F58">
        <w:rPr>
          <w:b/>
          <w:sz w:val="22"/>
          <w:szCs w:val="23"/>
        </w:rPr>
        <w:tab/>
      </w:r>
      <w:r w:rsidRPr="009C1F58">
        <w:rPr>
          <w:sz w:val="22"/>
          <w:szCs w:val="23"/>
        </w:rPr>
        <w:t>La información proporcionada en las “Notas a los Estados Financieros” fue obtenida de los Estados Financieros emitidos por el sistema contable SAACG.NET. Se procesa la información de las facturas, transferencias y demás documentos soporte de cada póliza. El registro de movimientos se realiza aplicando la normatividad vigente, de acuerdo a la Ley General de Contabilidad Gubernamental y a las disposiciones legales aplicables; así como los resultados de los movimientos realizados en el ejercicio normal de sus operaciones.</w:t>
      </w:r>
    </w:p>
    <w:p w:rsidR="000E4B30" w:rsidRPr="009C1F58" w:rsidRDefault="000E4B30" w:rsidP="000E4B30">
      <w:pPr>
        <w:ind w:firstLine="360"/>
        <w:jc w:val="both"/>
        <w:rPr>
          <w:sz w:val="22"/>
          <w:szCs w:val="23"/>
        </w:rPr>
      </w:pPr>
    </w:p>
    <w:p w:rsidR="000E4B30" w:rsidRPr="009C1F58" w:rsidRDefault="000E4B30" w:rsidP="000E4B30">
      <w:pPr>
        <w:ind w:firstLine="708"/>
        <w:jc w:val="both"/>
        <w:rPr>
          <w:sz w:val="22"/>
          <w:szCs w:val="23"/>
        </w:rPr>
      </w:pPr>
      <w:r w:rsidRPr="009C1F58">
        <w:rPr>
          <w:sz w:val="22"/>
          <w:szCs w:val="23"/>
        </w:rPr>
        <w:t>No existiendo en ningún momento partes relacionadas que pudieran ejercer influencia significativa sobre la toma de decisiones financieras y operativas, se presenta a continuación con detalle información relevante y suficiente sobre los saldos y movimientos de las cuentas de Activo, Pasivo y Patrimonio consignadas en el Estado de Situación Financiera.</w:t>
      </w:r>
    </w:p>
    <w:p w:rsidR="000E4B30" w:rsidRDefault="000E4B30" w:rsidP="000E4B30">
      <w:pPr>
        <w:ind w:firstLine="708"/>
        <w:jc w:val="both"/>
        <w:rPr>
          <w:sz w:val="22"/>
          <w:szCs w:val="23"/>
        </w:rPr>
      </w:pPr>
    </w:p>
    <w:p w:rsidR="000E4B30" w:rsidRDefault="000E4B30" w:rsidP="000E4B30">
      <w:pPr>
        <w:ind w:firstLine="708"/>
        <w:jc w:val="both"/>
        <w:rPr>
          <w:sz w:val="22"/>
          <w:szCs w:val="23"/>
        </w:rPr>
      </w:pPr>
    </w:p>
    <w:p w:rsidR="000E4B30" w:rsidRDefault="000E4B30" w:rsidP="000E4B30">
      <w:pPr>
        <w:ind w:firstLine="708"/>
        <w:jc w:val="both"/>
        <w:rPr>
          <w:sz w:val="22"/>
          <w:szCs w:val="23"/>
        </w:rPr>
      </w:pPr>
    </w:p>
    <w:p w:rsidR="000E4B30" w:rsidRPr="009C1F58" w:rsidRDefault="000E4B30" w:rsidP="000E4B30">
      <w:pPr>
        <w:ind w:firstLine="708"/>
        <w:jc w:val="both"/>
        <w:rPr>
          <w:sz w:val="22"/>
          <w:szCs w:val="23"/>
        </w:rPr>
      </w:pPr>
    </w:p>
    <w:p w:rsidR="000E4B30" w:rsidRPr="00FF3DE2" w:rsidRDefault="000E4B30" w:rsidP="000E4B30">
      <w:pPr>
        <w:jc w:val="center"/>
        <w:rPr>
          <w:b/>
          <w:color w:val="0070C0"/>
          <w:sz w:val="22"/>
          <w:szCs w:val="22"/>
          <w:u w:val="single"/>
        </w:rPr>
      </w:pPr>
      <w:r w:rsidRPr="007F1065">
        <w:rPr>
          <w:b/>
          <w:color w:val="0070C0"/>
          <w:sz w:val="22"/>
          <w:szCs w:val="22"/>
          <w:u w:val="single"/>
        </w:rPr>
        <w:t>ACTIVO</w:t>
      </w:r>
    </w:p>
    <w:p w:rsidR="000E4B30" w:rsidRPr="00FF3DE2" w:rsidRDefault="000E4B30" w:rsidP="000E4B30">
      <w:pPr>
        <w:jc w:val="center"/>
        <w:rPr>
          <w:b/>
          <w:i/>
          <w:color w:val="0070C0"/>
          <w:sz w:val="22"/>
          <w:szCs w:val="22"/>
        </w:rPr>
      </w:pPr>
    </w:p>
    <w:p w:rsidR="000E4B30" w:rsidRPr="00FF3DE2" w:rsidRDefault="000E4B30" w:rsidP="000E4B30">
      <w:pPr>
        <w:jc w:val="both"/>
        <w:rPr>
          <w:b/>
          <w:color w:val="0070C0"/>
          <w:sz w:val="22"/>
          <w:szCs w:val="22"/>
        </w:rPr>
      </w:pPr>
      <w:r w:rsidRPr="00FF3DE2">
        <w:rPr>
          <w:b/>
          <w:color w:val="0070C0"/>
          <w:sz w:val="22"/>
          <w:szCs w:val="22"/>
        </w:rPr>
        <w:t>ACTIVO CIRCULANTE $</w:t>
      </w:r>
      <w:r w:rsidRPr="00FF3DE2">
        <w:rPr>
          <w:color w:val="0070C0"/>
          <w:sz w:val="22"/>
          <w:szCs w:val="22"/>
        </w:rPr>
        <w:t xml:space="preserve"> </w:t>
      </w:r>
      <w:r w:rsidRPr="000C109D">
        <w:rPr>
          <w:b/>
          <w:color w:val="0070C0"/>
          <w:sz w:val="22"/>
          <w:szCs w:val="22"/>
        </w:rPr>
        <w:t>17</w:t>
      </w:r>
      <w:r>
        <w:rPr>
          <w:b/>
          <w:color w:val="0070C0"/>
          <w:sz w:val="22"/>
          <w:szCs w:val="22"/>
        </w:rPr>
        <w:t>’</w:t>
      </w:r>
      <w:r w:rsidRPr="000C109D">
        <w:rPr>
          <w:b/>
          <w:color w:val="0070C0"/>
          <w:sz w:val="22"/>
          <w:szCs w:val="22"/>
        </w:rPr>
        <w:t>769</w:t>
      </w:r>
      <w:r>
        <w:rPr>
          <w:b/>
          <w:color w:val="0070C0"/>
          <w:sz w:val="22"/>
          <w:szCs w:val="22"/>
        </w:rPr>
        <w:t>,590.5</w:t>
      </w:r>
      <w:r w:rsidRPr="000C109D">
        <w:rPr>
          <w:b/>
          <w:color w:val="0070C0"/>
          <w:sz w:val="22"/>
          <w:szCs w:val="22"/>
        </w:rPr>
        <w:t>8</w:t>
      </w:r>
    </w:p>
    <w:p w:rsidR="000E4B30" w:rsidRPr="00FF3DE2" w:rsidRDefault="000E4B30" w:rsidP="000E4B30">
      <w:pPr>
        <w:jc w:val="both"/>
        <w:rPr>
          <w:b/>
          <w:i/>
          <w:color w:val="0070C0"/>
          <w:sz w:val="22"/>
          <w:szCs w:val="22"/>
          <w:u w:val="single"/>
        </w:rPr>
      </w:pPr>
    </w:p>
    <w:p w:rsidR="000E4B30" w:rsidRPr="00FF3DE2" w:rsidRDefault="000E4B30" w:rsidP="000E4B30">
      <w:pPr>
        <w:jc w:val="both"/>
        <w:rPr>
          <w:sz w:val="22"/>
          <w:szCs w:val="22"/>
        </w:rPr>
      </w:pPr>
    </w:p>
    <w:p w:rsidR="000E4B30" w:rsidRPr="00FF3DE2" w:rsidRDefault="000E4B30" w:rsidP="000E4B30">
      <w:pPr>
        <w:pStyle w:val="Prrafodelista"/>
        <w:numPr>
          <w:ilvl w:val="0"/>
          <w:numId w:val="12"/>
        </w:numPr>
        <w:spacing w:after="200" w:line="276" w:lineRule="auto"/>
        <w:jc w:val="both"/>
        <w:rPr>
          <w:color w:val="0070C0"/>
        </w:rPr>
      </w:pPr>
      <w:r w:rsidRPr="00FF3DE2">
        <w:rPr>
          <w:b/>
          <w:color w:val="0070C0"/>
          <w:lang w:val="es-ES_tradnl" w:eastAsia="es-ES"/>
        </w:rPr>
        <w:t>Efectivo y Equivalentes $</w:t>
      </w:r>
      <w:r w:rsidRPr="00FF3DE2">
        <w:rPr>
          <w:color w:val="0070C0"/>
        </w:rPr>
        <w:t xml:space="preserve"> </w:t>
      </w:r>
      <w:r w:rsidRPr="00BF0285">
        <w:rPr>
          <w:b/>
          <w:color w:val="0070C0"/>
        </w:rPr>
        <w:t>6</w:t>
      </w:r>
      <w:r>
        <w:rPr>
          <w:b/>
          <w:color w:val="0070C0"/>
        </w:rPr>
        <w:t>’</w:t>
      </w:r>
      <w:r w:rsidRPr="00BF0285">
        <w:rPr>
          <w:b/>
          <w:color w:val="0070C0"/>
        </w:rPr>
        <w:t>913</w:t>
      </w:r>
      <w:r>
        <w:rPr>
          <w:b/>
          <w:color w:val="0070C0"/>
        </w:rPr>
        <w:t>,94</w:t>
      </w:r>
      <w:r w:rsidRPr="00BF0285">
        <w:rPr>
          <w:b/>
          <w:color w:val="0070C0"/>
        </w:rPr>
        <w:t>7.</w:t>
      </w:r>
      <w:r>
        <w:rPr>
          <w:b/>
          <w:color w:val="0070C0"/>
        </w:rPr>
        <w:t>5</w:t>
      </w:r>
      <w:r w:rsidRPr="00BF0285">
        <w:rPr>
          <w:b/>
          <w:color w:val="0070C0"/>
        </w:rPr>
        <w:t>4</w:t>
      </w:r>
    </w:p>
    <w:p w:rsidR="000E4B30" w:rsidRPr="00FF3DE2" w:rsidRDefault="000E4B30" w:rsidP="000E4B30">
      <w:pPr>
        <w:jc w:val="both"/>
        <w:rPr>
          <w:sz w:val="22"/>
          <w:szCs w:val="22"/>
        </w:rPr>
      </w:pPr>
      <w:r w:rsidRPr="00FF3DE2">
        <w:rPr>
          <w:sz w:val="22"/>
          <w:szCs w:val="22"/>
        </w:rPr>
        <w:t>A continuación, se relacionan las cuentas que integran el rubro de efectivo y equivalentes:</w:t>
      </w:r>
    </w:p>
    <w:p w:rsidR="000E4B30" w:rsidRPr="00FF3DE2" w:rsidRDefault="000E4B30" w:rsidP="000E4B30">
      <w:pPr>
        <w:jc w:val="both"/>
        <w:rPr>
          <w:color w:val="0070C0"/>
          <w:sz w:val="22"/>
          <w:szCs w:val="22"/>
        </w:rPr>
      </w:pPr>
    </w:p>
    <w:p w:rsidR="000E4B30" w:rsidRPr="00204F02" w:rsidRDefault="000E4B30" w:rsidP="000E4B30">
      <w:pPr>
        <w:pStyle w:val="Prrafodelista"/>
        <w:numPr>
          <w:ilvl w:val="1"/>
          <w:numId w:val="12"/>
        </w:numPr>
        <w:spacing w:after="200" w:line="276" w:lineRule="auto"/>
        <w:jc w:val="both"/>
        <w:rPr>
          <w:color w:val="0070C0"/>
        </w:rPr>
      </w:pPr>
      <w:r w:rsidRPr="00204F02">
        <w:rPr>
          <w:color w:val="0070C0"/>
        </w:rPr>
        <w:t xml:space="preserve">Bancos/Dependencias y Otros $ </w:t>
      </w:r>
      <w:r w:rsidRPr="00BF0285">
        <w:rPr>
          <w:color w:val="0070C0"/>
        </w:rPr>
        <w:t>6</w:t>
      </w:r>
      <w:r>
        <w:rPr>
          <w:color w:val="0070C0"/>
        </w:rPr>
        <w:t>’</w:t>
      </w:r>
      <w:r w:rsidRPr="00BF0285">
        <w:rPr>
          <w:color w:val="0070C0"/>
        </w:rPr>
        <w:t>913</w:t>
      </w:r>
      <w:r>
        <w:rPr>
          <w:color w:val="0070C0"/>
        </w:rPr>
        <w:t>,94</w:t>
      </w:r>
      <w:r w:rsidRPr="00BF0285">
        <w:rPr>
          <w:color w:val="0070C0"/>
        </w:rPr>
        <w:t>7.</w:t>
      </w:r>
      <w:r>
        <w:rPr>
          <w:color w:val="0070C0"/>
        </w:rPr>
        <w:t>5</w:t>
      </w:r>
      <w:r w:rsidRPr="00BF0285">
        <w:rPr>
          <w:color w:val="0070C0"/>
        </w:rPr>
        <w:t>4</w:t>
      </w:r>
    </w:p>
    <w:p w:rsidR="000E4B30" w:rsidRPr="00FF3DE2" w:rsidRDefault="000E4B30" w:rsidP="000E4B30">
      <w:pPr>
        <w:ind w:left="1068"/>
        <w:jc w:val="both"/>
        <w:rPr>
          <w:sz w:val="22"/>
          <w:szCs w:val="22"/>
        </w:rPr>
      </w:pPr>
      <w:r w:rsidRPr="00FF3DE2">
        <w:rPr>
          <w:sz w:val="22"/>
          <w:szCs w:val="22"/>
        </w:rPr>
        <w:lastRenderedPageBreak/>
        <w:t xml:space="preserve">Representa el monto de efectivo disponible que se tiene en Bancos al </w:t>
      </w:r>
      <w:r>
        <w:rPr>
          <w:sz w:val="22"/>
          <w:szCs w:val="22"/>
        </w:rPr>
        <w:t>31</w:t>
      </w:r>
      <w:r w:rsidRPr="00FF3DE2">
        <w:rPr>
          <w:sz w:val="22"/>
          <w:szCs w:val="22"/>
        </w:rPr>
        <w:t xml:space="preserve"> de </w:t>
      </w:r>
      <w:r>
        <w:rPr>
          <w:sz w:val="22"/>
          <w:szCs w:val="22"/>
        </w:rPr>
        <w:t xml:space="preserve">diciembre </w:t>
      </w:r>
      <w:r w:rsidRPr="00FF3DE2">
        <w:rPr>
          <w:sz w:val="22"/>
          <w:szCs w:val="22"/>
        </w:rPr>
        <w:t>del 202</w:t>
      </w:r>
      <w:r>
        <w:rPr>
          <w:sz w:val="22"/>
          <w:szCs w:val="22"/>
        </w:rPr>
        <w:t>5</w:t>
      </w:r>
      <w:r w:rsidRPr="00FF3DE2">
        <w:rPr>
          <w:sz w:val="22"/>
          <w:szCs w:val="22"/>
        </w:rPr>
        <w:t>, los recursos se distribuyen en las cuentas bancarias de la siguiente manera:</w:t>
      </w:r>
    </w:p>
    <w:p w:rsidR="000E4B30" w:rsidRPr="00FF3DE2" w:rsidRDefault="000E4B30" w:rsidP="000E4B30">
      <w:pPr>
        <w:jc w:val="both"/>
        <w:rPr>
          <w:sz w:val="22"/>
          <w:szCs w:val="22"/>
        </w:rPr>
      </w:pPr>
    </w:p>
    <w:p w:rsidR="000E4B30" w:rsidRPr="00D70D6F" w:rsidRDefault="000E4B30" w:rsidP="000E4B30">
      <w:pPr>
        <w:pStyle w:val="Prrafodelista"/>
        <w:numPr>
          <w:ilvl w:val="0"/>
          <w:numId w:val="8"/>
        </w:numPr>
        <w:spacing w:after="200" w:line="276" w:lineRule="auto"/>
        <w:jc w:val="both"/>
      </w:pPr>
      <w:r w:rsidRPr="00D70D6F">
        <w:t>Recursos Propios cuenta número 0112875160.</w:t>
      </w:r>
    </w:p>
    <w:p w:rsidR="000E4B30" w:rsidRPr="00D70D6F" w:rsidRDefault="000E4B30" w:rsidP="000E4B30">
      <w:pPr>
        <w:pStyle w:val="Prrafodelista"/>
        <w:numPr>
          <w:ilvl w:val="0"/>
          <w:numId w:val="8"/>
        </w:numPr>
        <w:spacing w:after="200" w:line="276" w:lineRule="auto"/>
        <w:jc w:val="both"/>
      </w:pPr>
      <w:r w:rsidRPr="00D70D6F">
        <w:t xml:space="preserve">Programa PRODEP FIDEICOMISO cuenta número 0190349917. </w:t>
      </w:r>
    </w:p>
    <w:p w:rsidR="000E4B30" w:rsidRPr="00D70D6F" w:rsidRDefault="000E4B30" w:rsidP="000E4B30">
      <w:pPr>
        <w:pStyle w:val="Prrafodelista"/>
        <w:numPr>
          <w:ilvl w:val="0"/>
          <w:numId w:val="8"/>
        </w:numPr>
        <w:spacing w:after="200" w:line="276" w:lineRule="auto"/>
        <w:jc w:val="both"/>
      </w:pPr>
      <w:r w:rsidRPr="00D70D6F">
        <w:t>Recurso Federal Extraordinario 2023 cuenta número 0121001590.</w:t>
      </w:r>
    </w:p>
    <w:p w:rsidR="000E4B30" w:rsidRPr="00D70D6F" w:rsidRDefault="000E4B30" w:rsidP="000E4B30">
      <w:pPr>
        <w:pStyle w:val="Prrafodelista"/>
        <w:numPr>
          <w:ilvl w:val="0"/>
          <w:numId w:val="8"/>
        </w:numPr>
        <w:spacing w:after="200" w:line="276" w:lineRule="auto"/>
        <w:jc w:val="both"/>
      </w:pPr>
      <w:r w:rsidRPr="00D70D6F">
        <w:t>Recurso convenio ICTI PDLL cuenta número 0121950959.</w:t>
      </w:r>
    </w:p>
    <w:p w:rsidR="000E4B30" w:rsidRPr="00D70D6F" w:rsidRDefault="000E4B30" w:rsidP="000E4B30">
      <w:pPr>
        <w:pStyle w:val="Prrafodelista"/>
        <w:numPr>
          <w:ilvl w:val="0"/>
          <w:numId w:val="8"/>
        </w:numPr>
        <w:spacing w:after="200" w:line="276" w:lineRule="auto"/>
        <w:jc w:val="both"/>
      </w:pPr>
      <w:r w:rsidRPr="00D70D6F">
        <w:t>Recurso convenio ICTI RJM cuenta número 0121951033.</w:t>
      </w:r>
    </w:p>
    <w:p w:rsidR="000E4B30" w:rsidRPr="00D70D6F" w:rsidRDefault="000E4B30" w:rsidP="000E4B30">
      <w:pPr>
        <w:pStyle w:val="Prrafodelista"/>
        <w:numPr>
          <w:ilvl w:val="0"/>
          <w:numId w:val="8"/>
        </w:numPr>
        <w:spacing w:after="200" w:line="276" w:lineRule="auto"/>
        <w:jc w:val="both"/>
      </w:pPr>
      <w:r w:rsidRPr="00D70D6F">
        <w:t>Recurso Estatal 2024 cuenta número 0121950797.</w:t>
      </w:r>
    </w:p>
    <w:p w:rsidR="000E4B30" w:rsidRPr="00D70D6F" w:rsidRDefault="000E4B30" w:rsidP="000E4B30">
      <w:pPr>
        <w:pStyle w:val="Prrafodelista"/>
        <w:numPr>
          <w:ilvl w:val="0"/>
          <w:numId w:val="8"/>
        </w:numPr>
        <w:spacing w:after="200" w:line="276" w:lineRule="auto"/>
        <w:jc w:val="both"/>
      </w:pPr>
      <w:r w:rsidRPr="00D70D6F">
        <w:t>Recurso Federal 2024 cuenta número 0121950843.</w:t>
      </w:r>
    </w:p>
    <w:p w:rsidR="000E4B30" w:rsidRPr="00D70D6F" w:rsidRDefault="000E4B30" w:rsidP="000E4B30">
      <w:pPr>
        <w:pStyle w:val="Prrafodelista"/>
        <w:numPr>
          <w:ilvl w:val="0"/>
          <w:numId w:val="8"/>
        </w:numPr>
        <w:spacing w:after="200" w:line="276" w:lineRule="auto"/>
        <w:jc w:val="both"/>
      </w:pPr>
      <w:r w:rsidRPr="00D70D6F">
        <w:t>Recurso convenio ICTI DELFIN 2024 cuenta número 0123282317.</w:t>
      </w:r>
    </w:p>
    <w:p w:rsidR="000E4B30" w:rsidRDefault="000E4B30" w:rsidP="000E4B30">
      <w:pPr>
        <w:pStyle w:val="Prrafodelista"/>
        <w:numPr>
          <w:ilvl w:val="0"/>
          <w:numId w:val="8"/>
        </w:numPr>
        <w:spacing w:after="200" w:line="276" w:lineRule="auto"/>
        <w:jc w:val="both"/>
      </w:pPr>
      <w:r w:rsidRPr="00D70D6F">
        <w:t>Recurso convenio ICTI AIZJ 2024 cuenta número 0124219236.</w:t>
      </w:r>
    </w:p>
    <w:p w:rsidR="000E4B30" w:rsidRPr="00D70D6F" w:rsidRDefault="000E4B30" w:rsidP="000E4B30">
      <w:pPr>
        <w:pStyle w:val="Prrafodelista"/>
        <w:numPr>
          <w:ilvl w:val="0"/>
          <w:numId w:val="8"/>
        </w:numPr>
        <w:spacing w:after="200" w:line="276" w:lineRule="auto"/>
        <w:jc w:val="both"/>
      </w:pPr>
      <w:r w:rsidRPr="00D70D6F">
        <w:t>Recurso Estatal 2025 cuenta número 0124376846.</w:t>
      </w:r>
    </w:p>
    <w:p w:rsidR="000E4B30" w:rsidRDefault="000E4B30" w:rsidP="000E4B30">
      <w:pPr>
        <w:pStyle w:val="Prrafodelista"/>
        <w:numPr>
          <w:ilvl w:val="0"/>
          <w:numId w:val="8"/>
        </w:numPr>
        <w:spacing w:after="200" w:line="276" w:lineRule="auto"/>
        <w:jc w:val="both"/>
      </w:pPr>
      <w:r w:rsidRPr="00D70D6F">
        <w:t>Recurso Federal 202</w:t>
      </w:r>
      <w:r>
        <w:t>5</w:t>
      </w:r>
      <w:r w:rsidRPr="00D70D6F">
        <w:t xml:space="preserve"> cuenta número 012</w:t>
      </w:r>
      <w:r>
        <w:t>4467698</w:t>
      </w:r>
      <w:r w:rsidRPr="00D70D6F">
        <w:t>.</w:t>
      </w:r>
    </w:p>
    <w:p w:rsidR="000E4B30" w:rsidRDefault="000E4B30" w:rsidP="000E4B30">
      <w:pPr>
        <w:pStyle w:val="Prrafodelista"/>
        <w:numPr>
          <w:ilvl w:val="0"/>
          <w:numId w:val="8"/>
        </w:numPr>
        <w:spacing w:after="200" w:line="276" w:lineRule="auto"/>
        <w:jc w:val="both"/>
      </w:pPr>
      <w:r>
        <w:t>Recurso convenio SECIHTI PDLL cuenta número 0124690605.</w:t>
      </w:r>
      <w:r w:rsidRPr="00E95E49">
        <w:t xml:space="preserve"> </w:t>
      </w:r>
    </w:p>
    <w:p w:rsidR="000E4B30" w:rsidRDefault="000E4B30" w:rsidP="000E4B30">
      <w:pPr>
        <w:pStyle w:val="Prrafodelista"/>
        <w:numPr>
          <w:ilvl w:val="0"/>
          <w:numId w:val="8"/>
        </w:numPr>
        <w:spacing w:after="200" w:line="276" w:lineRule="auto"/>
        <w:jc w:val="both"/>
      </w:pPr>
      <w:r>
        <w:t xml:space="preserve">Recurso convenio ICTI DELFIN 2025 cuenta número </w:t>
      </w:r>
      <w:r w:rsidRPr="00E95E49">
        <w:t>0125067103</w:t>
      </w:r>
      <w:r>
        <w:t>.</w:t>
      </w:r>
    </w:p>
    <w:p w:rsidR="000E4B30" w:rsidRDefault="000E4B30" w:rsidP="000E4B30">
      <w:pPr>
        <w:pStyle w:val="Prrafodelista"/>
        <w:numPr>
          <w:ilvl w:val="0"/>
          <w:numId w:val="8"/>
        </w:numPr>
        <w:spacing w:after="200" w:line="276" w:lineRule="auto"/>
        <w:jc w:val="both"/>
      </w:pPr>
      <w:r>
        <w:t>Recurso programa PRODEP 2025 cuenta número 0125701384.</w:t>
      </w:r>
      <w:r w:rsidRPr="00BF0285">
        <w:t xml:space="preserve"> </w:t>
      </w:r>
    </w:p>
    <w:p w:rsidR="000E4B30" w:rsidRDefault="000E4B30" w:rsidP="000E4B30">
      <w:pPr>
        <w:pStyle w:val="Prrafodelista"/>
        <w:numPr>
          <w:ilvl w:val="0"/>
          <w:numId w:val="8"/>
        </w:numPr>
        <w:spacing w:after="200" w:line="276" w:lineRule="auto"/>
        <w:jc w:val="both"/>
      </w:pPr>
      <w:r>
        <w:t>Recurso convenio SECIHTI OERB cuenta número 0125555353.</w:t>
      </w:r>
      <w:r w:rsidRPr="00E95E49">
        <w:t xml:space="preserve"> </w:t>
      </w:r>
    </w:p>
    <w:p w:rsidR="000E4B30" w:rsidRPr="00FF3DE2" w:rsidRDefault="000E4B30" w:rsidP="000E4B30">
      <w:pPr>
        <w:jc w:val="both"/>
        <w:rPr>
          <w:sz w:val="22"/>
          <w:szCs w:val="22"/>
        </w:rPr>
      </w:pPr>
    </w:p>
    <w:p w:rsidR="000E4B30" w:rsidRDefault="000E4B30" w:rsidP="000E4B30">
      <w:pPr>
        <w:jc w:val="both"/>
        <w:rPr>
          <w:sz w:val="22"/>
          <w:szCs w:val="22"/>
        </w:rPr>
      </w:pPr>
      <w:r w:rsidRPr="00FF3DE2">
        <w:rPr>
          <w:sz w:val="22"/>
          <w:szCs w:val="22"/>
        </w:rPr>
        <w:t>Los contratos de cuentas se encuentran en la institución bancaria BBVA México S.A., los saldos de las cuentas se detallan en las conciliaciones bancarias mensuales presentadas con los Estados de Cuenta que emite la institución BBVA México S.A., como a continuación se indica:</w:t>
      </w:r>
    </w:p>
    <w:p w:rsidR="000E4B30" w:rsidRDefault="000E4B30" w:rsidP="000E4B30">
      <w:pPr>
        <w:jc w:val="both"/>
        <w:rPr>
          <w:sz w:val="22"/>
          <w:szCs w:val="22"/>
        </w:rPr>
      </w:pPr>
    </w:p>
    <w:tbl>
      <w:tblPr>
        <w:tblW w:w="8863" w:type="dxa"/>
        <w:jc w:val="center"/>
        <w:tblCellMar>
          <w:left w:w="70" w:type="dxa"/>
          <w:right w:w="70" w:type="dxa"/>
        </w:tblCellMar>
        <w:tblLook w:val="04A0" w:firstRow="1" w:lastRow="0" w:firstColumn="1" w:lastColumn="0" w:noHBand="0" w:noVBand="1"/>
      </w:tblPr>
      <w:tblGrid>
        <w:gridCol w:w="1123"/>
        <w:gridCol w:w="1080"/>
        <w:gridCol w:w="1080"/>
        <w:gridCol w:w="2803"/>
        <w:gridCol w:w="1734"/>
        <w:gridCol w:w="1043"/>
      </w:tblGrid>
      <w:tr w:rsidR="000E4B30" w:rsidRPr="00BF0285" w:rsidTr="00F34562">
        <w:trPr>
          <w:trHeight w:val="210"/>
          <w:jc w:val="center"/>
        </w:trPr>
        <w:tc>
          <w:tcPr>
            <w:tcW w:w="8863"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0E4B30" w:rsidRPr="00BF0285" w:rsidRDefault="000E4B30" w:rsidP="00F34562">
            <w:pPr>
              <w:jc w:val="center"/>
              <w:rPr>
                <w:rFonts w:ascii="Cambria" w:hAnsi="Cambria" w:cs="Tahoma"/>
                <w:b/>
                <w:bCs/>
                <w:color w:val="000000"/>
              </w:rPr>
            </w:pPr>
            <w:r w:rsidRPr="00BF0285">
              <w:rPr>
                <w:rFonts w:ascii="Cambria" w:hAnsi="Cambria" w:cs="Tahoma"/>
                <w:b/>
                <w:bCs/>
                <w:color w:val="000000"/>
              </w:rPr>
              <w:t>SALDOS CONTABLES DE CUENTAS BANCARIAS DE CHEQUES UCEMICH</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000000" w:fill="FFFFFF"/>
            <w:vAlign w:val="center"/>
            <w:hideMark/>
          </w:tcPr>
          <w:p w:rsidR="000E4B30" w:rsidRPr="00BF0285" w:rsidRDefault="000E4B30" w:rsidP="00F34562">
            <w:pPr>
              <w:jc w:val="center"/>
              <w:rPr>
                <w:rFonts w:ascii="Cambria" w:hAnsi="Cambria" w:cs="Tahoma"/>
                <w:b/>
                <w:bCs/>
                <w:color w:val="000000"/>
                <w:sz w:val="16"/>
                <w:szCs w:val="16"/>
              </w:rPr>
            </w:pPr>
            <w:r w:rsidRPr="00BF0285">
              <w:rPr>
                <w:rFonts w:ascii="Cambria" w:hAnsi="Cambria" w:cs="Tahoma"/>
                <w:b/>
                <w:bCs/>
                <w:color w:val="000000"/>
                <w:sz w:val="16"/>
                <w:szCs w:val="16"/>
              </w:rPr>
              <w:t>INSTITUCIÓN BANCARIA</w:t>
            </w:r>
          </w:p>
        </w:tc>
        <w:tc>
          <w:tcPr>
            <w:tcW w:w="1080" w:type="dxa"/>
            <w:tcBorders>
              <w:top w:val="nil"/>
              <w:left w:val="nil"/>
              <w:bottom w:val="single" w:sz="8" w:space="0" w:color="auto"/>
              <w:right w:val="single" w:sz="8" w:space="0" w:color="auto"/>
            </w:tcBorders>
            <w:shd w:val="clear" w:color="000000" w:fill="FFFFFF"/>
            <w:vAlign w:val="center"/>
            <w:hideMark/>
          </w:tcPr>
          <w:p w:rsidR="000E4B30" w:rsidRPr="00BF0285" w:rsidRDefault="000E4B30" w:rsidP="00F34562">
            <w:pPr>
              <w:jc w:val="center"/>
              <w:rPr>
                <w:rFonts w:ascii="Cambria" w:hAnsi="Cambria" w:cs="Tahoma"/>
                <w:b/>
                <w:bCs/>
                <w:color w:val="000000"/>
                <w:sz w:val="16"/>
                <w:szCs w:val="16"/>
              </w:rPr>
            </w:pPr>
            <w:r w:rsidRPr="00BF0285">
              <w:rPr>
                <w:rFonts w:ascii="Cambria" w:hAnsi="Cambria" w:cs="Tahoma"/>
                <w:b/>
                <w:bCs/>
                <w:color w:val="000000"/>
                <w:sz w:val="16"/>
                <w:szCs w:val="16"/>
              </w:rPr>
              <w:t>NÚMERO DE CUENTA</w:t>
            </w:r>
          </w:p>
        </w:tc>
        <w:tc>
          <w:tcPr>
            <w:tcW w:w="1080" w:type="dxa"/>
            <w:tcBorders>
              <w:top w:val="nil"/>
              <w:left w:val="nil"/>
              <w:bottom w:val="single" w:sz="8" w:space="0" w:color="auto"/>
              <w:right w:val="single" w:sz="8" w:space="0" w:color="auto"/>
            </w:tcBorders>
            <w:shd w:val="clear" w:color="000000" w:fill="FFFFFF"/>
            <w:vAlign w:val="center"/>
            <w:hideMark/>
          </w:tcPr>
          <w:p w:rsidR="000E4B30" w:rsidRPr="00BF0285" w:rsidRDefault="000E4B30" w:rsidP="00F34562">
            <w:pPr>
              <w:jc w:val="center"/>
              <w:rPr>
                <w:rFonts w:ascii="Cambria" w:hAnsi="Cambria" w:cs="Tahoma"/>
                <w:b/>
                <w:bCs/>
                <w:color w:val="000000"/>
                <w:sz w:val="16"/>
                <w:szCs w:val="16"/>
              </w:rPr>
            </w:pPr>
            <w:r w:rsidRPr="00BF0285">
              <w:rPr>
                <w:rFonts w:ascii="Cambria" w:hAnsi="Cambria" w:cs="Tahoma"/>
                <w:b/>
                <w:bCs/>
                <w:color w:val="000000"/>
                <w:sz w:val="16"/>
                <w:szCs w:val="16"/>
              </w:rPr>
              <w:t>TIPO DE CUENTA</w:t>
            </w:r>
          </w:p>
        </w:tc>
        <w:tc>
          <w:tcPr>
            <w:tcW w:w="2803" w:type="dxa"/>
            <w:tcBorders>
              <w:top w:val="nil"/>
              <w:left w:val="nil"/>
              <w:bottom w:val="single" w:sz="8" w:space="0" w:color="auto"/>
              <w:right w:val="single" w:sz="8" w:space="0" w:color="auto"/>
            </w:tcBorders>
            <w:shd w:val="clear" w:color="000000" w:fill="FFFFFF"/>
            <w:vAlign w:val="center"/>
            <w:hideMark/>
          </w:tcPr>
          <w:p w:rsidR="000E4B30" w:rsidRPr="00BF0285" w:rsidRDefault="000E4B30" w:rsidP="00F34562">
            <w:pPr>
              <w:jc w:val="center"/>
              <w:rPr>
                <w:rFonts w:ascii="Cambria" w:hAnsi="Cambria" w:cs="Tahoma"/>
                <w:b/>
                <w:bCs/>
                <w:color w:val="000000"/>
                <w:sz w:val="16"/>
                <w:szCs w:val="16"/>
              </w:rPr>
            </w:pPr>
            <w:r w:rsidRPr="00BF0285">
              <w:rPr>
                <w:rFonts w:ascii="Cambria" w:hAnsi="Cambria" w:cs="Tahoma"/>
                <w:b/>
                <w:bCs/>
                <w:color w:val="000000"/>
                <w:sz w:val="16"/>
                <w:szCs w:val="16"/>
              </w:rPr>
              <w:t>CONCEPTO DE MANEJO DE CUENTA</w:t>
            </w:r>
          </w:p>
        </w:tc>
        <w:tc>
          <w:tcPr>
            <w:tcW w:w="1734" w:type="dxa"/>
            <w:tcBorders>
              <w:top w:val="nil"/>
              <w:left w:val="nil"/>
              <w:bottom w:val="single" w:sz="8" w:space="0" w:color="auto"/>
              <w:right w:val="single" w:sz="8" w:space="0" w:color="auto"/>
            </w:tcBorders>
            <w:shd w:val="clear" w:color="000000" w:fill="FFFFFF"/>
            <w:vAlign w:val="center"/>
            <w:hideMark/>
          </w:tcPr>
          <w:p w:rsidR="000E4B30" w:rsidRPr="00BF0285" w:rsidRDefault="000E4B30" w:rsidP="00F34562">
            <w:pPr>
              <w:jc w:val="center"/>
              <w:rPr>
                <w:rFonts w:ascii="Cambria" w:hAnsi="Cambria" w:cs="Tahoma"/>
                <w:b/>
                <w:bCs/>
                <w:color w:val="000000"/>
                <w:sz w:val="16"/>
                <w:szCs w:val="16"/>
              </w:rPr>
            </w:pPr>
            <w:r w:rsidRPr="00BF0285">
              <w:rPr>
                <w:rFonts w:ascii="Cambria" w:hAnsi="Cambria" w:cs="Tahoma"/>
                <w:b/>
                <w:bCs/>
                <w:color w:val="000000"/>
                <w:sz w:val="16"/>
                <w:szCs w:val="16"/>
              </w:rPr>
              <w:t>SALDO</w:t>
            </w:r>
          </w:p>
        </w:tc>
        <w:tc>
          <w:tcPr>
            <w:tcW w:w="1043" w:type="dxa"/>
            <w:tcBorders>
              <w:top w:val="nil"/>
              <w:left w:val="nil"/>
              <w:bottom w:val="single" w:sz="8" w:space="0" w:color="auto"/>
              <w:right w:val="single" w:sz="8" w:space="0" w:color="auto"/>
            </w:tcBorders>
            <w:shd w:val="clear" w:color="000000" w:fill="FFFFFF"/>
            <w:vAlign w:val="center"/>
            <w:hideMark/>
          </w:tcPr>
          <w:p w:rsidR="000E4B30" w:rsidRPr="00BF0285" w:rsidRDefault="000E4B30" w:rsidP="00F34562">
            <w:pPr>
              <w:jc w:val="center"/>
              <w:rPr>
                <w:rFonts w:ascii="Cambria" w:hAnsi="Cambria" w:cs="Tahoma"/>
                <w:b/>
                <w:bCs/>
                <w:color w:val="000000"/>
                <w:sz w:val="16"/>
                <w:szCs w:val="16"/>
              </w:rPr>
            </w:pPr>
            <w:r w:rsidRPr="00BF0285">
              <w:rPr>
                <w:rFonts w:ascii="Cambria" w:hAnsi="Cambria" w:cs="Tahoma"/>
                <w:b/>
                <w:bCs/>
                <w:color w:val="000000"/>
                <w:sz w:val="16"/>
                <w:szCs w:val="16"/>
              </w:rPr>
              <w:t>FECHA DE CORTE</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0112875160</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RECURSOS PROPIOS</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sz w:val="16"/>
                <w:szCs w:val="16"/>
              </w:rPr>
            </w:pPr>
            <w:r w:rsidRPr="00BF0285">
              <w:rPr>
                <w:rFonts w:ascii="Cambria" w:hAnsi="Cambria" w:cs="Tahoma"/>
                <w:sz w:val="16"/>
                <w:szCs w:val="16"/>
              </w:rPr>
              <w:t>-$297,268.63</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0112875160</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RECURSOS PROPIOS Remanente 2024</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$1,660,255.17</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sz w:val="16"/>
                <w:szCs w:val="16"/>
              </w:rPr>
            </w:pPr>
            <w:r w:rsidRPr="00BF0285">
              <w:rPr>
                <w:rFonts w:ascii="Calibri" w:hAnsi="Calibri" w:cs="Tahoma"/>
                <w:sz w:val="16"/>
                <w:szCs w:val="16"/>
              </w:rPr>
              <w:t>0190349917</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sz w:val="16"/>
                <w:szCs w:val="16"/>
              </w:rPr>
            </w:pPr>
            <w:r w:rsidRPr="00BF0285">
              <w:rPr>
                <w:rFonts w:ascii="Cambria" w:hAnsi="Cambria" w:cs="Tahoma"/>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sz w:val="16"/>
                <w:szCs w:val="16"/>
              </w:rPr>
            </w:pPr>
            <w:r w:rsidRPr="00BF0285">
              <w:rPr>
                <w:rFonts w:ascii="Cambria" w:hAnsi="Cambria" w:cs="Tahoma"/>
                <w:sz w:val="16"/>
                <w:szCs w:val="16"/>
              </w:rPr>
              <w:t>PRODEP FIDEICOMISO</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$1,113,028.82</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0121001590</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EXTRAORDINARIO FEDERAL 2023</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$0.19</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0121950959</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ICTI PDLL</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0121951033</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ICTI RJM</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0121950797</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ESTATAL 2024</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0121950843</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FEDERAL 2024</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$8.09</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0123282317</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ICTI DELFIN 2024</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0124219236</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ICTI AIZJ 2024</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0124376846</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ESTATAL 2025</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Pr>
                <w:rFonts w:ascii="Cambria" w:hAnsi="Cambria" w:cs="Tahoma"/>
                <w:color w:val="000000"/>
                <w:sz w:val="16"/>
                <w:szCs w:val="16"/>
              </w:rPr>
              <w:t>$3,711,</w:t>
            </w:r>
            <w:r w:rsidRPr="00BF0285">
              <w:rPr>
                <w:rFonts w:ascii="Cambria" w:hAnsi="Cambria" w:cs="Tahoma"/>
                <w:color w:val="000000"/>
                <w:sz w:val="16"/>
                <w:szCs w:val="16"/>
              </w:rPr>
              <w:t>3</w:t>
            </w:r>
            <w:r>
              <w:rPr>
                <w:rFonts w:ascii="Cambria" w:hAnsi="Cambria" w:cs="Tahoma"/>
                <w:color w:val="000000"/>
                <w:sz w:val="16"/>
                <w:szCs w:val="16"/>
              </w:rPr>
              <w:t>04.2</w:t>
            </w:r>
            <w:r w:rsidRPr="00BF0285">
              <w:rPr>
                <w:rFonts w:ascii="Cambria" w:hAnsi="Cambria" w:cs="Tahoma"/>
                <w:color w:val="000000"/>
                <w:sz w:val="16"/>
                <w:szCs w:val="16"/>
              </w:rPr>
              <w:t>5</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 xml:space="preserve">0124467698 </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FEDERAL 2025</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$526,619.65</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0124690605</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SECIHTI PDLL</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0125067103</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ICTI DELFIN 2025</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0125701384</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PRODEP 2025</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BBVA</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libri" w:hAnsi="Calibri" w:cs="Tahoma"/>
                <w:color w:val="000000"/>
                <w:sz w:val="16"/>
                <w:szCs w:val="16"/>
              </w:rPr>
            </w:pPr>
            <w:r w:rsidRPr="00BF0285">
              <w:rPr>
                <w:rFonts w:ascii="Calibri" w:hAnsi="Calibri" w:cs="Tahoma"/>
                <w:color w:val="000000"/>
                <w:sz w:val="16"/>
                <w:szCs w:val="16"/>
              </w:rPr>
              <w:t>0125555353</w:t>
            </w:r>
          </w:p>
        </w:tc>
        <w:tc>
          <w:tcPr>
            <w:tcW w:w="1080"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CHEQUES</w:t>
            </w:r>
          </w:p>
        </w:tc>
        <w:tc>
          <w:tcPr>
            <w:tcW w:w="280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rPr>
                <w:rFonts w:ascii="Cambria" w:hAnsi="Cambria" w:cs="Tahoma"/>
                <w:color w:val="000000"/>
                <w:sz w:val="16"/>
                <w:szCs w:val="16"/>
              </w:rPr>
            </w:pPr>
            <w:r w:rsidRPr="00BF0285">
              <w:rPr>
                <w:rFonts w:ascii="Cambria" w:hAnsi="Cambria" w:cs="Tahoma"/>
                <w:color w:val="000000"/>
                <w:sz w:val="16"/>
                <w:szCs w:val="16"/>
              </w:rPr>
              <w:t>SECIHTI OERB</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$200,000.00</w:t>
            </w:r>
          </w:p>
        </w:tc>
        <w:tc>
          <w:tcPr>
            <w:tcW w:w="1043"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color w:val="000000"/>
                <w:sz w:val="16"/>
                <w:szCs w:val="16"/>
              </w:rPr>
            </w:pPr>
            <w:r w:rsidRPr="00BF0285">
              <w:rPr>
                <w:rFonts w:ascii="Cambria" w:hAnsi="Cambria" w:cs="Tahoma"/>
                <w:color w:val="000000"/>
                <w:sz w:val="16"/>
                <w:szCs w:val="16"/>
              </w:rPr>
              <w:t>31-dic-25</w:t>
            </w:r>
          </w:p>
        </w:tc>
      </w:tr>
      <w:tr w:rsidR="000E4B30" w:rsidRPr="00BF0285" w:rsidTr="00F34562">
        <w:trPr>
          <w:trHeight w:val="210"/>
          <w:jc w:val="center"/>
        </w:trPr>
        <w:tc>
          <w:tcPr>
            <w:tcW w:w="1123" w:type="dxa"/>
            <w:tcBorders>
              <w:top w:val="nil"/>
              <w:left w:val="nil"/>
              <w:bottom w:val="nil"/>
              <w:right w:val="nil"/>
            </w:tcBorders>
            <w:shd w:val="clear" w:color="000000" w:fill="FFFFFF"/>
            <w:noWrap/>
            <w:vAlign w:val="center"/>
            <w:hideMark/>
          </w:tcPr>
          <w:p w:rsidR="000E4B30" w:rsidRPr="00BF0285" w:rsidRDefault="000E4B30" w:rsidP="00F34562">
            <w:pPr>
              <w:jc w:val="center"/>
              <w:rPr>
                <w:rFonts w:ascii="Cambria" w:hAnsi="Cambria" w:cs="Tahoma"/>
                <w:color w:val="000000"/>
                <w:sz w:val="16"/>
                <w:szCs w:val="16"/>
              </w:rPr>
            </w:pPr>
            <w:r w:rsidRPr="00BF0285">
              <w:rPr>
                <w:rFonts w:ascii="Cambria" w:hAnsi="Cambria" w:cs="Tahoma"/>
                <w:color w:val="000000"/>
                <w:sz w:val="16"/>
                <w:szCs w:val="16"/>
              </w:rPr>
              <w:t> </w:t>
            </w:r>
          </w:p>
        </w:tc>
        <w:tc>
          <w:tcPr>
            <w:tcW w:w="1080" w:type="dxa"/>
            <w:tcBorders>
              <w:top w:val="nil"/>
              <w:left w:val="nil"/>
              <w:bottom w:val="nil"/>
              <w:right w:val="nil"/>
            </w:tcBorders>
            <w:shd w:val="clear" w:color="auto" w:fill="auto"/>
            <w:noWrap/>
            <w:vAlign w:val="center"/>
            <w:hideMark/>
          </w:tcPr>
          <w:p w:rsidR="000E4B30" w:rsidRPr="00BF0285" w:rsidRDefault="000E4B30" w:rsidP="00F34562">
            <w:pPr>
              <w:jc w:val="center"/>
              <w:rPr>
                <w:rFonts w:ascii="Cambria" w:hAnsi="Cambria" w:cs="Tahoma"/>
                <w:color w:val="000000"/>
                <w:sz w:val="16"/>
                <w:szCs w:val="16"/>
              </w:rPr>
            </w:pPr>
          </w:p>
        </w:tc>
        <w:tc>
          <w:tcPr>
            <w:tcW w:w="1080" w:type="dxa"/>
            <w:tcBorders>
              <w:top w:val="nil"/>
              <w:left w:val="nil"/>
              <w:bottom w:val="nil"/>
              <w:right w:val="nil"/>
            </w:tcBorders>
            <w:shd w:val="clear" w:color="auto" w:fill="auto"/>
            <w:noWrap/>
            <w:vAlign w:val="center"/>
            <w:hideMark/>
          </w:tcPr>
          <w:p w:rsidR="000E4B30" w:rsidRPr="00BF0285" w:rsidRDefault="000E4B30" w:rsidP="00F34562">
            <w:pPr>
              <w:rPr>
                <w:sz w:val="20"/>
                <w:szCs w:val="20"/>
              </w:rPr>
            </w:pPr>
          </w:p>
        </w:tc>
        <w:tc>
          <w:tcPr>
            <w:tcW w:w="2803" w:type="dxa"/>
            <w:tcBorders>
              <w:top w:val="nil"/>
              <w:left w:val="single" w:sz="8" w:space="0" w:color="auto"/>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b/>
                <w:bCs/>
                <w:color w:val="000000"/>
                <w:sz w:val="20"/>
                <w:szCs w:val="20"/>
              </w:rPr>
            </w:pPr>
            <w:r w:rsidRPr="00BF0285">
              <w:rPr>
                <w:rFonts w:ascii="Cambria" w:hAnsi="Cambria" w:cs="Tahoma"/>
                <w:b/>
                <w:bCs/>
                <w:color w:val="000000"/>
                <w:sz w:val="20"/>
                <w:szCs w:val="20"/>
              </w:rPr>
              <w:t>TOTAL</w:t>
            </w:r>
          </w:p>
        </w:tc>
        <w:tc>
          <w:tcPr>
            <w:tcW w:w="1734" w:type="dxa"/>
            <w:tcBorders>
              <w:top w:val="nil"/>
              <w:left w:val="nil"/>
              <w:bottom w:val="single" w:sz="8" w:space="0" w:color="auto"/>
              <w:right w:val="single" w:sz="8" w:space="0" w:color="auto"/>
            </w:tcBorders>
            <w:shd w:val="clear" w:color="auto" w:fill="auto"/>
            <w:noWrap/>
            <w:vAlign w:val="center"/>
            <w:hideMark/>
          </w:tcPr>
          <w:p w:rsidR="000E4B30" w:rsidRPr="00BF0285" w:rsidRDefault="000E4B30" w:rsidP="00F34562">
            <w:pPr>
              <w:jc w:val="right"/>
              <w:rPr>
                <w:rFonts w:ascii="Cambria" w:hAnsi="Cambria" w:cs="Tahoma"/>
                <w:b/>
                <w:bCs/>
                <w:color w:val="000000"/>
                <w:sz w:val="20"/>
                <w:szCs w:val="20"/>
              </w:rPr>
            </w:pPr>
            <w:r>
              <w:rPr>
                <w:rFonts w:ascii="Cambria" w:hAnsi="Cambria" w:cs="Tahoma"/>
                <w:b/>
                <w:bCs/>
                <w:color w:val="000000"/>
                <w:sz w:val="20"/>
                <w:szCs w:val="20"/>
              </w:rPr>
              <w:t>$6,913,947.5</w:t>
            </w:r>
            <w:r w:rsidRPr="00BF0285">
              <w:rPr>
                <w:rFonts w:ascii="Cambria" w:hAnsi="Cambria" w:cs="Tahoma"/>
                <w:b/>
                <w:bCs/>
                <w:color w:val="000000"/>
                <w:sz w:val="20"/>
                <w:szCs w:val="20"/>
              </w:rPr>
              <w:t>4</w:t>
            </w:r>
          </w:p>
        </w:tc>
        <w:tc>
          <w:tcPr>
            <w:tcW w:w="1043" w:type="dxa"/>
            <w:tcBorders>
              <w:top w:val="nil"/>
              <w:left w:val="nil"/>
              <w:bottom w:val="nil"/>
              <w:right w:val="nil"/>
            </w:tcBorders>
            <w:shd w:val="clear" w:color="auto" w:fill="auto"/>
            <w:noWrap/>
            <w:vAlign w:val="center"/>
            <w:hideMark/>
          </w:tcPr>
          <w:p w:rsidR="000E4B30" w:rsidRPr="00BF0285" w:rsidRDefault="000E4B30" w:rsidP="00F34562">
            <w:pPr>
              <w:jc w:val="right"/>
              <w:rPr>
                <w:rFonts w:ascii="Cambria" w:hAnsi="Cambria" w:cs="Tahoma"/>
                <w:b/>
                <w:bCs/>
                <w:color w:val="000000"/>
                <w:sz w:val="20"/>
                <w:szCs w:val="20"/>
              </w:rPr>
            </w:pPr>
          </w:p>
        </w:tc>
      </w:tr>
    </w:tbl>
    <w:p w:rsidR="000E4B30" w:rsidRDefault="000E4B30" w:rsidP="000E4B30">
      <w:pPr>
        <w:jc w:val="both"/>
        <w:rPr>
          <w:sz w:val="22"/>
          <w:szCs w:val="22"/>
        </w:rPr>
      </w:pPr>
    </w:p>
    <w:p w:rsidR="000E4B30" w:rsidRDefault="000E4B30" w:rsidP="000E4B30">
      <w:pPr>
        <w:jc w:val="both"/>
        <w:rPr>
          <w:sz w:val="22"/>
          <w:szCs w:val="22"/>
        </w:rPr>
      </w:pPr>
    </w:p>
    <w:p w:rsidR="000E4B30" w:rsidRPr="00FF3DE2" w:rsidRDefault="000E4B30" w:rsidP="000E4B30">
      <w:pPr>
        <w:pStyle w:val="Prrafodelista"/>
        <w:ind w:left="708"/>
        <w:jc w:val="both"/>
        <w:rPr>
          <w:lang w:val="es-ES_tradnl" w:eastAsia="es-ES"/>
        </w:rPr>
      </w:pPr>
      <w:r w:rsidRPr="00FF3DE2">
        <w:rPr>
          <w:lang w:val="es-ES_tradnl" w:eastAsia="es-ES"/>
        </w:rPr>
        <w:lastRenderedPageBreak/>
        <w:t>La aplicación de los recursos ordinarios correspondientes al 202</w:t>
      </w:r>
      <w:r>
        <w:rPr>
          <w:lang w:val="es-ES_tradnl" w:eastAsia="es-ES"/>
        </w:rPr>
        <w:t>5</w:t>
      </w:r>
      <w:r w:rsidRPr="00FF3DE2">
        <w:rPr>
          <w:lang w:val="es-ES_tradnl" w:eastAsia="es-ES"/>
        </w:rPr>
        <w:t xml:space="preserve"> se ejecutará</w:t>
      </w:r>
      <w:r>
        <w:rPr>
          <w:lang w:val="es-ES_tradnl" w:eastAsia="es-ES"/>
        </w:rPr>
        <w:t>n</w:t>
      </w:r>
      <w:r w:rsidRPr="00FF3DE2">
        <w:rPr>
          <w:lang w:val="es-ES_tradnl" w:eastAsia="es-ES"/>
        </w:rPr>
        <w:t xml:space="preserve"> de acue</w:t>
      </w:r>
      <w:r>
        <w:rPr>
          <w:lang w:val="es-ES_tradnl" w:eastAsia="es-ES"/>
        </w:rPr>
        <w:t xml:space="preserve">rdo al </w:t>
      </w:r>
      <w:r w:rsidRPr="00FF3DE2">
        <w:rPr>
          <w:lang w:val="es-ES_tradnl" w:eastAsia="es-ES"/>
        </w:rPr>
        <w:t>POA 202</w:t>
      </w:r>
      <w:r>
        <w:rPr>
          <w:lang w:val="es-ES_tradnl" w:eastAsia="es-ES"/>
        </w:rPr>
        <w:t>5</w:t>
      </w:r>
      <w:r w:rsidRPr="00FF3DE2">
        <w:rPr>
          <w:lang w:val="es-ES_tradnl" w:eastAsia="es-ES"/>
        </w:rPr>
        <w:t>.</w:t>
      </w:r>
    </w:p>
    <w:p w:rsidR="000E4B30" w:rsidRDefault="000E4B30" w:rsidP="000E4B30">
      <w:pPr>
        <w:pStyle w:val="Prrafodelista"/>
        <w:ind w:left="708"/>
        <w:jc w:val="both"/>
        <w:rPr>
          <w:lang w:val="es-ES_tradnl" w:eastAsia="es-ES"/>
        </w:rPr>
      </w:pPr>
      <w:r w:rsidRPr="00FF3DE2">
        <w:rPr>
          <w:lang w:val="es-ES_tradnl" w:eastAsia="es-ES"/>
        </w:rPr>
        <w:t>La aplicación de los recursos de los convenios ICTI, y programa PRODEP, se realizarán de acuerdo a las reglas y cláusulas de operación de cada uno de los mismos.</w:t>
      </w:r>
    </w:p>
    <w:p w:rsidR="000E4B30" w:rsidRDefault="000E4B30" w:rsidP="000E4B30">
      <w:pPr>
        <w:pStyle w:val="Prrafodelista"/>
        <w:ind w:left="708"/>
        <w:jc w:val="both"/>
        <w:rPr>
          <w:lang w:val="es-ES_tradnl" w:eastAsia="es-ES"/>
        </w:rPr>
      </w:pPr>
    </w:p>
    <w:p w:rsidR="000E4B30" w:rsidRDefault="000E4B30" w:rsidP="000E4B30">
      <w:pPr>
        <w:pStyle w:val="Prrafodelista"/>
        <w:ind w:left="708"/>
        <w:jc w:val="both"/>
        <w:rPr>
          <w:lang w:val="es-ES_tradnl" w:eastAsia="es-ES"/>
        </w:rPr>
      </w:pPr>
    </w:p>
    <w:p w:rsidR="000E4B30" w:rsidRDefault="000E4B30" w:rsidP="000E4B30">
      <w:pPr>
        <w:pStyle w:val="Prrafodelista"/>
        <w:ind w:left="708"/>
        <w:jc w:val="both"/>
        <w:rPr>
          <w:lang w:val="es-ES_tradnl" w:eastAsia="es-ES"/>
        </w:rPr>
      </w:pPr>
    </w:p>
    <w:p w:rsidR="000E4B30" w:rsidRPr="00A23E16" w:rsidRDefault="000E4B30" w:rsidP="000E4B30">
      <w:pPr>
        <w:pStyle w:val="Prrafodelista"/>
        <w:numPr>
          <w:ilvl w:val="1"/>
          <w:numId w:val="12"/>
        </w:numPr>
        <w:spacing w:after="200" w:line="276" w:lineRule="auto"/>
        <w:jc w:val="both"/>
        <w:rPr>
          <w:color w:val="2E74B5" w:themeColor="accent1" w:themeShade="BF"/>
        </w:rPr>
      </w:pPr>
      <w:r w:rsidRPr="00A23E16">
        <w:rPr>
          <w:color w:val="2E74B5" w:themeColor="accent1" w:themeShade="BF"/>
        </w:rPr>
        <w:t>Inversiones Temporales</w:t>
      </w:r>
    </w:p>
    <w:p w:rsidR="000E4B30" w:rsidRDefault="000E4B30" w:rsidP="000E4B30">
      <w:pPr>
        <w:jc w:val="both"/>
        <w:rPr>
          <w:sz w:val="22"/>
          <w:szCs w:val="22"/>
        </w:rPr>
      </w:pPr>
      <w:r w:rsidRPr="00F54DF5">
        <w:rPr>
          <w:sz w:val="22"/>
          <w:szCs w:val="22"/>
        </w:rPr>
        <w:t xml:space="preserve">La </w:t>
      </w:r>
      <w:r>
        <w:rPr>
          <w:sz w:val="22"/>
          <w:szCs w:val="22"/>
        </w:rPr>
        <w:t>Universidad de La Ciénega del Estado de Michoacán de Ocampo no cuenta con inversiones temporales.</w:t>
      </w:r>
    </w:p>
    <w:p w:rsidR="000E4B30" w:rsidRPr="00A23E16" w:rsidRDefault="000E4B30" w:rsidP="000E4B30">
      <w:pPr>
        <w:pStyle w:val="Prrafodelista"/>
        <w:numPr>
          <w:ilvl w:val="1"/>
          <w:numId w:val="12"/>
        </w:numPr>
        <w:spacing w:after="200" w:line="276" w:lineRule="auto"/>
        <w:jc w:val="both"/>
        <w:rPr>
          <w:color w:val="2E74B5" w:themeColor="accent1" w:themeShade="BF"/>
        </w:rPr>
      </w:pPr>
      <w:r w:rsidRPr="00A23E16">
        <w:rPr>
          <w:color w:val="2E74B5" w:themeColor="accent1" w:themeShade="BF"/>
        </w:rPr>
        <w:t>Fondos con Afectación Específica</w:t>
      </w:r>
    </w:p>
    <w:p w:rsidR="000E4B30" w:rsidRDefault="000E4B30" w:rsidP="000E4B30">
      <w:pPr>
        <w:jc w:val="both"/>
        <w:rPr>
          <w:sz w:val="22"/>
          <w:szCs w:val="22"/>
        </w:rPr>
      </w:pPr>
      <w:r w:rsidRPr="00F54DF5">
        <w:rPr>
          <w:sz w:val="22"/>
          <w:szCs w:val="22"/>
        </w:rPr>
        <w:t xml:space="preserve">La Universidad de La Ciénega del Estado de Michoacán de Ocampo no cuenta con </w:t>
      </w:r>
      <w:r>
        <w:rPr>
          <w:sz w:val="22"/>
          <w:szCs w:val="22"/>
        </w:rPr>
        <w:t>fondos con afectación especifica.</w:t>
      </w:r>
    </w:p>
    <w:p w:rsidR="000E4B30" w:rsidRPr="00F54DF5" w:rsidRDefault="000E4B30" w:rsidP="000E4B30">
      <w:pPr>
        <w:jc w:val="both"/>
        <w:rPr>
          <w:sz w:val="22"/>
          <w:szCs w:val="22"/>
        </w:rPr>
      </w:pPr>
    </w:p>
    <w:p w:rsidR="000E4B30" w:rsidRPr="00A23E16" w:rsidRDefault="000E4B30" w:rsidP="000E4B30">
      <w:pPr>
        <w:pStyle w:val="Prrafodelista"/>
        <w:numPr>
          <w:ilvl w:val="0"/>
          <w:numId w:val="12"/>
        </w:numPr>
        <w:spacing w:after="200" w:line="276" w:lineRule="auto"/>
        <w:jc w:val="both"/>
        <w:rPr>
          <w:b/>
          <w:color w:val="2E74B5" w:themeColor="accent1" w:themeShade="BF"/>
          <w:szCs w:val="23"/>
          <w:lang w:val="es-ES_tradnl" w:eastAsia="es-ES"/>
        </w:rPr>
      </w:pPr>
      <w:r w:rsidRPr="00A23E16">
        <w:rPr>
          <w:b/>
          <w:color w:val="2E74B5" w:themeColor="accent1" w:themeShade="BF"/>
          <w:szCs w:val="23"/>
          <w:lang w:val="es-ES_tradnl" w:eastAsia="es-ES"/>
        </w:rPr>
        <w:t xml:space="preserve">Derechos a recibir Efectivo y Equivalentes $ </w:t>
      </w:r>
      <w:r w:rsidRPr="00F1225B">
        <w:rPr>
          <w:b/>
          <w:color w:val="2E74B5" w:themeColor="accent1" w:themeShade="BF"/>
          <w:szCs w:val="23"/>
          <w:lang w:val="es-ES_tradnl" w:eastAsia="es-ES"/>
        </w:rPr>
        <w:t>10</w:t>
      </w:r>
      <w:r>
        <w:rPr>
          <w:b/>
          <w:color w:val="2E74B5" w:themeColor="accent1" w:themeShade="BF"/>
          <w:szCs w:val="23"/>
          <w:lang w:val="es-ES_tradnl" w:eastAsia="es-ES"/>
        </w:rPr>
        <w:t>’</w:t>
      </w:r>
      <w:r w:rsidRPr="00F1225B">
        <w:rPr>
          <w:b/>
          <w:color w:val="2E74B5" w:themeColor="accent1" w:themeShade="BF"/>
          <w:szCs w:val="23"/>
          <w:lang w:val="es-ES_tradnl" w:eastAsia="es-ES"/>
        </w:rPr>
        <w:t>855</w:t>
      </w:r>
      <w:r>
        <w:rPr>
          <w:b/>
          <w:color w:val="2E74B5" w:themeColor="accent1" w:themeShade="BF"/>
          <w:szCs w:val="23"/>
          <w:lang w:val="es-ES_tradnl" w:eastAsia="es-ES"/>
        </w:rPr>
        <w:t>,</w:t>
      </w:r>
      <w:r w:rsidRPr="00F1225B">
        <w:rPr>
          <w:b/>
          <w:color w:val="2E74B5" w:themeColor="accent1" w:themeShade="BF"/>
          <w:szCs w:val="23"/>
          <w:lang w:val="es-ES_tradnl" w:eastAsia="es-ES"/>
        </w:rPr>
        <w:t>643.04</w:t>
      </w:r>
    </w:p>
    <w:p w:rsidR="000E4B30" w:rsidRPr="00FF3DE2" w:rsidRDefault="000E4B30" w:rsidP="000E4B30">
      <w:pPr>
        <w:jc w:val="both"/>
        <w:rPr>
          <w:sz w:val="22"/>
          <w:szCs w:val="22"/>
          <w:lang w:val="es-ES_tradnl"/>
        </w:rPr>
      </w:pPr>
      <w:r w:rsidRPr="00FF3DE2">
        <w:rPr>
          <w:sz w:val="22"/>
          <w:szCs w:val="22"/>
          <w:lang w:val="es-ES_tradnl"/>
        </w:rPr>
        <w:t xml:space="preserve">Se conforma de la siguiente manera: </w:t>
      </w:r>
    </w:p>
    <w:p w:rsidR="000E4B30" w:rsidRPr="00FF3DE2" w:rsidRDefault="000E4B30" w:rsidP="000E4B30">
      <w:pPr>
        <w:jc w:val="both"/>
        <w:rPr>
          <w:color w:val="0070C0"/>
          <w:sz w:val="23"/>
          <w:szCs w:val="23"/>
          <w:lang w:val="es-ES_tradnl"/>
        </w:rPr>
      </w:pPr>
    </w:p>
    <w:p w:rsidR="000E4B30" w:rsidRPr="00AC74A4" w:rsidRDefault="000E4B30" w:rsidP="000E4B30">
      <w:pPr>
        <w:pStyle w:val="Prrafodelista"/>
        <w:numPr>
          <w:ilvl w:val="0"/>
          <w:numId w:val="13"/>
        </w:numPr>
        <w:spacing w:after="200" w:line="276" w:lineRule="auto"/>
        <w:jc w:val="both"/>
        <w:rPr>
          <w:color w:val="2E74B5" w:themeColor="accent1" w:themeShade="BF"/>
          <w:lang w:val="es-ES_tradnl" w:eastAsia="es-ES"/>
        </w:rPr>
      </w:pPr>
      <w:r w:rsidRPr="00AC74A4">
        <w:rPr>
          <w:color w:val="2E74B5" w:themeColor="accent1" w:themeShade="BF"/>
        </w:rPr>
        <w:t xml:space="preserve">Cuentas por cobrar a Corto Plazo $ </w:t>
      </w:r>
      <w:r w:rsidRPr="00F1225B">
        <w:rPr>
          <w:color w:val="2E74B5" w:themeColor="accent1" w:themeShade="BF"/>
        </w:rPr>
        <w:t>10</w:t>
      </w:r>
      <w:r>
        <w:rPr>
          <w:color w:val="2E74B5" w:themeColor="accent1" w:themeShade="BF"/>
        </w:rPr>
        <w:t>’</w:t>
      </w:r>
      <w:r w:rsidRPr="00F1225B">
        <w:rPr>
          <w:color w:val="2E74B5" w:themeColor="accent1" w:themeShade="BF"/>
        </w:rPr>
        <w:t>855</w:t>
      </w:r>
      <w:r>
        <w:rPr>
          <w:color w:val="2E74B5" w:themeColor="accent1" w:themeShade="BF"/>
        </w:rPr>
        <w:t>,</w:t>
      </w:r>
      <w:r w:rsidRPr="00F1225B">
        <w:rPr>
          <w:color w:val="2E74B5" w:themeColor="accent1" w:themeShade="BF"/>
        </w:rPr>
        <w:t>643.04</w:t>
      </w:r>
    </w:p>
    <w:p w:rsidR="000E4B30" w:rsidRPr="00FB33C1" w:rsidRDefault="000E4B30" w:rsidP="000E4B30">
      <w:pPr>
        <w:pStyle w:val="Prrafodelista"/>
        <w:numPr>
          <w:ilvl w:val="2"/>
          <w:numId w:val="19"/>
        </w:numPr>
        <w:tabs>
          <w:tab w:val="left" w:pos="0"/>
        </w:tabs>
        <w:ind w:left="426"/>
        <w:jc w:val="both"/>
      </w:pPr>
      <w:r w:rsidRPr="00AC74A4">
        <w:t>El saldo de la cuenta de Cuentas por Cobrar a Corto Plazo, se integra de</w:t>
      </w:r>
      <w:r>
        <w:t xml:space="preserve"> dos partes:</w:t>
      </w:r>
      <w:r w:rsidRPr="00AC74A4">
        <w:t xml:space="preserve"> </w:t>
      </w:r>
      <w:r>
        <w:t xml:space="preserve">una de ellas son </w:t>
      </w:r>
      <w:r w:rsidRPr="00AC74A4">
        <w:t>los saldos pendientes de recuperar por parte de la Secretaría de Finanzas y Administración por Documentos de Ejecución Presupuestal no pagados, teniendo al 3</w:t>
      </w:r>
      <w:r>
        <w:t>1</w:t>
      </w:r>
      <w:r w:rsidRPr="00AC74A4">
        <w:t xml:space="preserve"> de </w:t>
      </w:r>
      <w:r>
        <w:t>diciembre</w:t>
      </w:r>
      <w:r w:rsidRPr="00AC74A4">
        <w:t xml:space="preserve"> un saldo de </w:t>
      </w:r>
      <w:r>
        <w:t>$0.00 ya que no quedó pendiente de depositó ningún DEPP de recurso, cumpliendo en su totalidad el ANEXO DE EJECUCIÓN 2025. La segunda parte por la cual se integra esta cuenta es por</w:t>
      </w:r>
      <w:r w:rsidRPr="00AC74A4">
        <w:t xml:space="preserve"> las transferencias del dinero recaudado por los servicios brindados en el área de Ingresos Propios de la UCEMICH y que permanecen en la cuenta concentradora para dichos trámites</w:t>
      </w:r>
      <w:r>
        <w:t xml:space="preserve"> de Secretaría de Finanzas</w:t>
      </w:r>
      <w:r w:rsidRPr="00AC74A4">
        <w:t xml:space="preserve">, </w:t>
      </w:r>
      <w:r>
        <w:t xml:space="preserve">teniendo saldo pendiente de pago de $10’855,643.04 correspondiente a lo generado en diciembre y al recurso que se recibirá de PROFESIONALIZACIÓN por parte de SEE, los cuales son dos convenios independientes, uno es por la cantidad de $4’052,000.00 y otro por $6’763,511.98, el resto es lo correspondiente a lo recaudado por trámites y servicios de la Universidad que se depositaran a la cuenta durante el mes de enero 2026, sin embargo, quedan pendientes de recibir debido a que aún no se recauda el recurso puesto que aún está en la cuenta concentradora de la Secretaría de Finanzas, por tal motivo, se realizó una ampliación presupuestal, puesto que se tiene el derecho jurídico a recibir dichos recursos, y aunque el dinero aún no se ha recaudado en las cuentas de la UCEMICH, quedan registrados al momento del devengado. </w:t>
      </w:r>
      <w:r w:rsidRPr="00FB33C1">
        <w:t xml:space="preserve"> </w:t>
      </w:r>
    </w:p>
    <w:p w:rsidR="000E4B30" w:rsidRDefault="000E4B30" w:rsidP="000E4B30">
      <w:pPr>
        <w:ind w:left="708"/>
        <w:jc w:val="both"/>
        <w:rPr>
          <w:sz w:val="22"/>
          <w:szCs w:val="22"/>
        </w:rPr>
      </w:pPr>
    </w:p>
    <w:p w:rsidR="000E4B30" w:rsidRDefault="000E4B30" w:rsidP="000E4B30">
      <w:pPr>
        <w:ind w:left="708"/>
        <w:jc w:val="both"/>
        <w:rPr>
          <w:sz w:val="22"/>
          <w:szCs w:val="22"/>
        </w:rPr>
      </w:pPr>
    </w:p>
    <w:p w:rsidR="000E4B30" w:rsidRPr="00A23E16" w:rsidRDefault="000E4B30" w:rsidP="000E4B30">
      <w:pPr>
        <w:pStyle w:val="Prrafodelista"/>
        <w:numPr>
          <w:ilvl w:val="0"/>
          <w:numId w:val="13"/>
        </w:numPr>
        <w:spacing w:after="200" w:line="276" w:lineRule="auto"/>
        <w:jc w:val="both"/>
        <w:rPr>
          <w:color w:val="2E74B5" w:themeColor="accent1" w:themeShade="BF"/>
          <w:lang w:val="es-ES_tradnl" w:eastAsia="es-ES"/>
        </w:rPr>
      </w:pPr>
      <w:r w:rsidRPr="00A23E16">
        <w:rPr>
          <w:color w:val="2E74B5" w:themeColor="accent1" w:themeShade="BF"/>
        </w:rPr>
        <w:t xml:space="preserve">Deudores Diversos por cobrar a Corto Plazo $ </w:t>
      </w:r>
      <w:r>
        <w:rPr>
          <w:color w:val="2E74B5" w:themeColor="accent1" w:themeShade="BF"/>
        </w:rPr>
        <w:t>0</w:t>
      </w:r>
      <w:r w:rsidRPr="00637B88">
        <w:rPr>
          <w:color w:val="2E74B5" w:themeColor="accent1" w:themeShade="BF"/>
        </w:rPr>
        <w:t>.</w:t>
      </w:r>
      <w:r>
        <w:rPr>
          <w:color w:val="2E74B5" w:themeColor="accent1" w:themeShade="BF"/>
        </w:rPr>
        <w:t>00</w:t>
      </w:r>
    </w:p>
    <w:p w:rsidR="000E4B30" w:rsidRDefault="000E4B30" w:rsidP="000E4B30">
      <w:pPr>
        <w:ind w:left="708"/>
        <w:jc w:val="both"/>
        <w:rPr>
          <w:sz w:val="22"/>
          <w:szCs w:val="22"/>
        </w:rPr>
      </w:pPr>
      <w:r w:rsidRPr="00FF3DE2">
        <w:rPr>
          <w:sz w:val="22"/>
          <w:szCs w:val="22"/>
        </w:rPr>
        <w:t xml:space="preserve">El saldo de la cuenta de Deudores Diversos por Cobrar a Corto Plazo, se integra de los saldos pendientes de reintegrar del personal por concepto de viáticos no erogados en comisiones, </w:t>
      </w:r>
      <w:r w:rsidRPr="00FF3DE2">
        <w:rPr>
          <w:sz w:val="22"/>
          <w:szCs w:val="22"/>
        </w:rPr>
        <w:lastRenderedPageBreak/>
        <w:t>apoyos al desarrollo de investigación para docentes investigadores</w:t>
      </w:r>
      <w:r>
        <w:rPr>
          <w:sz w:val="22"/>
          <w:szCs w:val="22"/>
        </w:rPr>
        <w:t>, teniendo al 31 de diciembre un saldo de cero pesos, ya que todos los que tenían algún adeudo lo comprobaron en el mes reportado.</w:t>
      </w:r>
    </w:p>
    <w:p w:rsidR="000E4B30" w:rsidRDefault="000E4B30" w:rsidP="000E4B30">
      <w:pPr>
        <w:ind w:left="708"/>
        <w:jc w:val="both"/>
        <w:rPr>
          <w:sz w:val="22"/>
          <w:szCs w:val="22"/>
        </w:rPr>
      </w:pPr>
    </w:p>
    <w:p w:rsidR="000E4B30" w:rsidRDefault="000E4B30" w:rsidP="000E4B30">
      <w:pPr>
        <w:ind w:left="708"/>
        <w:jc w:val="both"/>
        <w:rPr>
          <w:sz w:val="22"/>
          <w:szCs w:val="22"/>
        </w:rPr>
      </w:pPr>
    </w:p>
    <w:p w:rsidR="000E4B30" w:rsidRPr="00A23E16" w:rsidRDefault="000E4B30" w:rsidP="000E4B30">
      <w:pPr>
        <w:pStyle w:val="Prrafodelista"/>
        <w:numPr>
          <w:ilvl w:val="0"/>
          <w:numId w:val="15"/>
        </w:numPr>
        <w:spacing w:after="200" w:line="276" w:lineRule="auto"/>
        <w:jc w:val="both"/>
        <w:rPr>
          <w:b/>
          <w:color w:val="2E74B5" w:themeColor="accent1" w:themeShade="BF"/>
          <w:szCs w:val="23"/>
          <w:lang w:val="es-ES_tradnl" w:eastAsia="es-ES"/>
        </w:rPr>
      </w:pPr>
      <w:r w:rsidRPr="00A23E16">
        <w:rPr>
          <w:b/>
          <w:color w:val="2E74B5" w:themeColor="accent1" w:themeShade="BF"/>
        </w:rPr>
        <w:t xml:space="preserve">Derechos a recibir Bienes o Servicios $ </w:t>
      </w:r>
      <w:r>
        <w:rPr>
          <w:b/>
          <w:color w:val="2E74B5" w:themeColor="accent1" w:themeShade="BF"/>
        </w:rPr>
        <w:t>0</w:t>
      </w:r>
      <w:r w:rsidRPr="00816F4D">
        <w:rPr>
          <w:b/>
          <w:color w:val="2E74B5" w:themeColor="accent1" w:themeShade="BF"/>
          <w:lang w:val="es-ES_tradnl" w:eastAsia="es-ES"/>
        </w:rPr>
        <w:t>.0</w:t>
      </w:r>
      <w:r>
        <w:rPr>
          <w:b/>
          <w:color w:val="2E74B5" w:themeColor="accent1" w:themeShade="BF"/>
          <w:lang w:val="es-ES_tradnl" w:eastAsia="es-ES"/>
        </w:rPr>
        <w:t>0</w:t>
      </w:r>
    </w:p>
    <w:p w:rsidR="000E4B30" w:rsidRPr="00A23E16" w:rsidRDefault="000E4B30" w:rsidP="000E4B30">
      <w:pPr>
        <w:pStyle w:val="Prrafodelista"/>
        <w:ind w:left="1428"/>
        <w:jc w:val="both"/>
        <w:rPr>
          <w:color w:val="2E74B5" w:themeColor="accent1" w:themeShade="BF"/>
          <w:szCs w:val="23"/>
          <w:lang w:val="es-ES_tradnl" w:eastAsia="es-ES"/>
        </w:rPr>
      </w:pPr>
    </w:p>
    <w:p w:rsidR="000E4B30" w:rsidRPr="00A23E16" w:rsidRDefault="000E4B30" w:rsidP="000E4B30">
      <w:pPr>
        <w:pStyle w:val="Prrafodelista"/>
        <w:numPr>
          <w:ilvl w:val="0"/>
          <w:numId w:val="14"/>
        </w:numPr>
        <w:spacing w:after="200" w:line="276" w:lineRule="auto"/>
        <w:jc w:val="both"/>
        <w:rPr>
          <w:color w:val="2E74B5" w:themeColor="accent1" w:themeShade="BF"/>
          <w:szCs w:val="23"/>
          <w:lang w:val="es-ES_tradnl" w:eastAsia="es-ES"/>
        </w:rPr>
      </w:pPr>
      <w:r w:rsidRPr="00A23E16">
        <w:rPr>
          <w:color w:val="2E74B5" w:themeColor="accent1" w:themeShade="BF"/>
          <w:szCs w:val="23"/>
          <w:lang w:val="es-ES_tradnl" w:eastAsia="es-ES"/>
        </w:rPr>
        <w:t>Anticipo a Proveedores por adquisición de bienes y prestación de servicios a Corto Plazo $</w:t>
      </w:r>
      <w:r w:rsidRPr="00146ADA">
        <w:t xml:space="preserve"> </w:t>
      </w:r>
      <w:r w:rsidRPr="00816F4D">
        <w:rPr>
          <w:color w:val="2E74B5" w:themeColor="accent1" w:themeShade="BF"/>
          <w:szCs w:val="23"/>
          <w:lang w:val="es-ES_tradnl" w:eastAsia="es-ES"/>
        </w:rPr>
        <w:t>0.0</w:t>
      </w:r>
      <w:r>
        <w:rPr>
          <w:color w:val="2E74B5" w:themeColor="accent1" w:themeShade="BF"/>
          <w:szCs w:val="23"/>
          <w:lang w:val="es-ES_tradnl" w:eastAsia="es-ES"/>
        </w:rPr>
        <w:t>0</w:t>
      </w:r>
    </w:p>
    <w:p w:rsidR="000E4B30" w:rsidRDefault="000E4B30" w:rsidP="000E4B30">
      <w:pPr>
        <w:ind w:left="708"/>
        <w:jc w:val="both"/>
        <w:rPr>
          <w:sz w:val="22"/>
          <w:szCs w:val="22"/>
        </w:rPr>
      </w:pPr>
      <w:r w:rsidRPr="00721A43">
        <w:rPr>
          <w:sz w:val="22"/>
          <w:szCs w:val="22"/>
        </w:rPr>
        <w:t>El saldo de la cuenta de Anticipo a Proveedores por Adquisición de bienes y Prestación de Servicios a Corto Plazo, se integra de los saldos pendientes de comprobar por parte de proveedores, entre otros</w:t>
      </w:r>
      <w:r>
        <w:rPr>
          <w:sz w:val="22"/>
          <w:szCs w:val="22"/>
        </w:rPr>
        <w:t>,</w:t>
      </w:r>
      <w:r w:rsidRPr="002F7AF5">
        <w:rPr>
          <w:sz w:val="22"/>
          <w:szCs w:val="22"/>
        </w:rPr>
        <w:t xml:space="preserve"> </w:t>
      </w:r>
      <w:r>
        <w:rPr>
          <w:sz w:val="22"/>
          <w:szCs w:val="22"/>
        </w:rPr>
        <w:t>teniendo al 31 de diciembre saldo en ceros.</w:t>
      </w:r>
    </w:p>
    <w:p w:rsidR="000E4B30" w:rsidRDefault="000E4B30" w:rsidP="000E4B30">
      <w:pPr>
        <w:ind w:left="708"/>
        <w:jc w:val="both"/>
        <w:rPr>
          <w:sz w:val="22"/>
          <w:szCs w:val="22"/>
        </w:rPr>
      </w:pPr>
    </w:p>
    <w:p w:rsidR="000E4B30" w:rsidRDefault="000E4B30" w:rsidP="000E4B30">
      <w:pPr>
        <w:ind w:left="708"/>
        <w:jc w:val="both"/>
        <w:rPr>
          <w:sz w:val="22"/>
          <w:szCs w:val="22"/>
        </w:rPr>
      </w:pPr>
    </w:p>
    <w:p w:rsidR="000E4B30" w:rsidRPr="00A23E16" w:rsidRDefault="000E4B30" w:rsidP="000E4B30">
      <w:pPr>
        <w:ind w:firstLine="708"/>
        <w:jc w:val="both"/>
        <w:rPr>
          <w:b/>
          <w:color w:val="2E74B5" w:themeColor="accent1" w:themeShade="BF"/>
          <w:sz w:val="22"/>
          <w:szCs w:val="22"/>
          <w:lang w:val="es-ES_tradnl" w:eastAsia="es-ES"/>
        </w:rPr>
      </w:pPr>
      <w:r w:rsidRPr="00A23E16">
        <w:rPr>
          <w:b/>
          <w:color w:val="2E74B5" w:themeColor="accent1" w:themeShade="BF"/>
          <w:sz w:val="22"/>
          <w:szCs w:val="22"/>
          <w:lang w:val="es-ES_tradnl" w:eastAsia="es-ES"/>
        </w:rPr>
        <w:t>INVENTARIOS. NO APLICA</w:t>
      </w:r>
    </w:p>
    <w:p w:rsidR="000E4B30" w:rsidRPr="00A23E16" w:rsidRDefault="000E4B30" w:rsidP="000E4B30">
      <w:pPr>
        <w:pStyle w:val="Prrafodelista"/>
        <w:jc w:val="both"/>
        <w:rPr>
          <w:b/>
          <w:color w:val="2E74B5" w:themeColor="accent1" w:themeShade="BF"/>
          <w:lang w:val="es-ES_tradnl" w:eastAsia="es-ES"/>
        </w:rPr>
      </w:pPr>
    </w:p>
    <w:p w:rsidR="000E4B30" w:rsidRPr="00A23E16" w:rsidRDefault="000E4B30" w:rsidP="000E4B30">
      <w:pPr>
        <w:ind w:firstLine="708"/>
        <w:jc w:val="both"/>
        <w:rPr>
          <w:b/>
          <w:color w:val="2E74B5" w:themeColor="accent1" w:themeShade="BF"/>
          <w:sz w:val="22"/>
          <w:szCs w:val="22"/>
          <w:lang w:val="es-ES_tradnl" w:eastAsia="es-ES"/>
        </w:rPr>
      </w:pPr>
      <w:r w:rsidRPr="00A23E16">
        <w:rPr>
          <w:b/>
          <w:color w:val="2E74B5" w:themeColor="accent1" w:themeShade="BF"/>
          <w:sz w:val="22"/>
          <w:szCs w:val="22"/>
          <w:lang w:val="es-ES_tradnl" w:eastAsia="es-ES"/>
        </w:rPr>
        <w:t>ALMACENES $0.00</w:t>
      </w:r>
    </w:p>
    <w:p w:rsidR="000E4B30" w:rsidRDefault="000E4B30" w:rsidP="000E4B30">
      <w:pPr>
        <w:jc w:val="both"/>
        <w:rPr>
          <w:b/>
          <w:color w:val="2E74B5" w:themeColor="accent1" w:themeShade="BF"/>
          <w:sz w:val="22"/>
          <w:szCs w:val="22"/>
        </w:rPr>
      </w:pPr>
    </w:p>
    <w:p w:rsidR="000E4B30" w:rsidRDefault="000E4B30" w:rsidP="000E4B30">
      <w:pPr>
        <w:jc w:val="both"/>
        <w:rPr>
          <w:b/>
          <w:color w:val="2E74B5" w:themeColor="accent1" w:themeShade="BF"/>
          <w:sz w:val="22"/>
          <w:szCs w:val="22"/>
        </w:rPr>
      </w:pPr>
    </w:p>
    <w:p w:rsidR="000E4B30" w:rsidRDefault="000E4B30" w:rsidP="000E4B30">
      <w:pPr>
        <w:jc w:val="both"/>
        <w:rPr>
          <w:b/>
          <w:color w:val="2E74B5" w:themeColor="accent1" w:themeShade="BF"/>
          <w:sz w:val="22"/>
          <w:szCs w:val="22"/>
        </w:rPr>
      </w:pPr>
    </w:p>
    <w:p w:rsidR="000E4B30" w:rsidRPr="00A23E16" w:rsidRDefault="000E4B30" w:rsidP="000E4B30">
      <w:pPr>
        <w:jc w:val="both"/>
        <w:rPr>
          <w:b/>
          <w:color w:val="2E74B5" w:themeColor="accent1" w:themeShade="BF"/>
          <w:sz w:val="22"/>
          <w:szCs w:val="22"/>
        </w:rPr>
      </w:pPr>
      <w:r w:rsidRPr="00A23E16">
        <w:rPr>
          <w:b/>
          <w:color w:val="2E74B5" w:themeColor="accent1" w:themeShade="BF"/>
          <w:sz w:val="22"/>
          <w:szCs w:val="22"/>
        </w:rPr>
        <w:t>ACTIVO NO CIRCULANTE $</w:t>
      </w:r>
      <w:r w:rsidRPr="008C15B8">
        <w:t xml:space="preserve"> </w:t>
      </w:r>
      <w:r w:rsidRPr="00765309">
        <w:rPr>
          <w:b/>
          <w:color w:val="2E74B5" w:themeColor="accent1" w:themeShade="BF"/>
          <w:sz w:val="22"/>
          <w:szCs w:val="22"/>
        </w:rPr>
        <w:t>137</w:t>
      </w:r>
      <w:r>
        <w:rPr>
          <w:b/>
          <w:color w:val="2E74B5" w:themeColor="accent1" w:themeShade="BF"/>
          <w:sz w:val="22"/>
          <w:szCs w:val="22"/>
        </w:rPr>
        <w:t>’</w:t>
      </w:r>
      <w:r w:rsidRPr="00765309">
        <w:rPr>
          <w:b/>
          <w:color w:val="2E74B5" w:themeColor="accent1" w:themeShade="BF"/>
          <w:sz w:val="22"/>
          <w:szCs w:val="22"/>
        </w:rPr>
        <w:t>841</w:t>
      </w:r>
      <w:r>
        <w:rPr>
          <w:b/>
          <w:color w:val="2E74B5" w:themeColor="accent1" w:themeShade="BF"/>
          <w:sz w:val="22"/>
          <w:szCs w:val="22"/>
        </w:rPr>
        <w:t>,</w:t>
      </w:r>
      <w:r w:rsidRPr="00765309">
        <w:rPr>
          <w:b/>
          <w:color w:val="2E74B5" w:themeColor="accent1" w:themeShade="BF"/>
          <w:sz w:val="22"/>
          <w:szCs w:val="22"/>
        </w:rPr>
        <w:t>734.17</w:t>
      </w:r>
    </w:p>
    <w:p w:rsidR="000E4B30" w:rsidRPr="00A23E16" w:rsidRDefault="000E4B30" w:rsidP="000E4B30">
      <w:pPr>
        <w:jc w:val="both"/>
        <w:rPr>
          <w:b/>
          <w:color w:val="2E74B5" w:themeColor="accent1" w:themeShade="BF"/>
          <w:sz w:val="22"/>
          <w:szCs w:val="22"/>
        </w:rPr>
      </w:pPr>
    </w:p>
    <w:p w:rsidR="000E4B30" w:rsidRPr="00A23E16" w:rsidRDefault="000E4B30" w:rsidP="000E4B30">
      <w:pPr>
        <w:pStyle w:val="Prrafodelista"/>
        <w:numPr>
          <w:ilvl w:val="0"/>
          <w:numId w:val="12"/>
        </w:numPr>
        <w:spacing w:after="200" w:line="276" w:lineRule="auto"/>
        <w:jc w:val="both"/>
        <w:rPr>
          <w:b/>
          <w:color w:val="2E74B5" w:themeColor="accent1" w:themeShade="BF"/>
          <w:szCs w:val="23"/>
          <w:lang w:val="es-ES_tradnl" w:eastAsia="es-ES"/>
        </w:rPr>
      </w:pPr>
      <w:r w:rsidRPr="00A23E16">
        <w:rPr>
          <w:b/>
          <w:color w:val="2E74B5" w:themeColor="accent1" w:themeShade="BF"/>
          <w:szCs w:val="23"/>
          <w:lang w:val="es-ES_tradnl" w:eastAsia="es-ES"/>
        </w:rPr>
        <w:t xml:space="preserve">Derechos a recibir Efectivo o Equivalentes a Largo Plazo $ </w:t>
      </w:r>
      <w:r w:rsidRPr="00A23E16">
        <w:rPr>
          <w:b/>
          <w:color w:val="2E74B5" w:themeColor="accent1" w:themeShade="BF"/>
        </w:rPr>
        <w:t>26’319,804.49</w:t>
      </w:r>
    </w:p>
    <w:p w:rsidR="000E4B30" w:rsidRPr="00A23E16" w:rsidRDefault="000E4B30" w:rsidP="000E4B30">
      <w:pPr>
        <w:rPr>
          <w:b/>
          <w:color w:val="2E74B5" w:themeColor="accent1" w:themeShade="BF"/>
          <w:sz w:val="22"/>
          <w:szCs w:val="22"/>
        </w:rPr>
      </w:pPr>
    </w:p>
    <w:p w:rsidR="000E4B30" w:rsidRPr="00A23E16" w:rsidRDefault="000E4B30" w:rsidP="000E4B30">
      <w:pPr>
        <w:pStyle w:val="Prrafodelista"/>
        <w:numPr>
          <w:ilvl w:val="0"/>
          <w:numId w:val="14"/>
        </w:numPr>
        <w:spacing w:after="200" w:line="276" w:lineRule="auto"/>
        <w:jc w:val="both"/>
        <w:rPr>
          <w:color w:val="2E74B5" w:themeColor="accent1" w:themeShade="BF"/>
        </w:rPr>
      </w:pPr>
      <w:r w:rsidRPr="00A23E16">
        <w:rPr>
          <w:color w:val="2E74B5" w:themeColor="accent1" w:themeShade="BF"/>
        </w:rPr>
        <w:t>Deudores Diversos a Largo Plazo $14,516.00</w:t>
      </w:r>
    </w:p>
    <w:p w:rsidR="000E4B30" w:rsidRPr="00FF3DE2" w:rsidRDefault="000E4B30" w:rsidP="000E4B30">
      <w:pPr>
        <w:jc w:val="both"/>
        <w:rPr>
          <w:color w:val="0070C0"/>
          <w:sz w:val="22"/>
          <w:szCs w:val="22"/>
        </w:rPr>
      </w:pPr>
    </w:p>
    <w:tbl>
      <w:tblPr>
        <w:tblW w:w="6080" w:type="dxa"/>
        <w:jc w:val="center"/>
        <w:tblCellMar>
          <w:left w:w="70" w:type="dxa"/>
          <w:right w:w="70" w:type="dxa"/>
        </w:tblCellMar>
        <w:tblLook w:val="04A0" w:firstRow="1" w:lastRow="0" w:firstColumn="1" w:lastColumn="0" w:noHBand="0" w:noVBand="1"/>
      </w:tblPr>
      <w:tblGrid>
        <w:gridCol w:w="4511"/>
        <w:gridCol w:w="1569"/>
      </w:tblGrid>
      <w:tr w:rsidR="000E4B30" w:rsidRPr="00C962BA" w:rsidTr="00F34562">
        <w:trPr>
          <w:trHeight w:val="210"/>
          <w:jc w:val="center"/>
        </w:trPr>
        <w:tc>
          <w:tcPr>
            <w:tcW w:w="6080" w:type="dxa"/>
            <w:gridSpan w:val="2"/>
            <w:tcBorders>
              <w:top w:val="single" w:sz="8" w:space="0" w:color="auto"/>
              <w:left w:val="single" w:sz="8" w:space="0" w:color="auto"/>
              <w:bottom w:val="single" w:sz="8" w:space="0" w:color="auto"/>
              <w:right w:val="single" w:sz="8" w:space="0" w:color="000000"/>
            </w:tcBorders>
            <w:shd w:val="clear" w:color="auto" w:fill="0070C0"/>
            <w:noWrap/>
            <w:vAlign w:val="center"/>
            <w:hideMark/>
          </w:tcPr>
          <w:p w:rsidR="000E4B30" w:rsidRPr="00C962BA" w:rsidRDefault="000E4B30" w:rsidP="00F34562">
            <w:pPr>
              <w:jc w:val="center"/>
              <w:rPr>
                <w:b/>
                <w:bCs/>
                <w:color w:val="000000"/>
                <w:sz w:val="16"/>
                <w:szCs w:val="16"/>
              </w:rPr>
            </w:pPr>
            <w:r w:rsidRPr="00C962BA">
              <w:rPr>
                <w:b/>
                <w:bCs/>
                <w:color w:val="000000"/>
                <w:sz w:val="16"/>
                <w:szCs w:val="16"/>
              </w:rPr>
              <w:t>DEUDORES DIVERSOS A LARGO PLAZO</w:t>
            </w:r>
          </w:p>
        </w:tc>
      </w:tr>
      <w:tr w:rsidR="000E4B30" w:rsidRPr="00C962BA" w:rsidTr="00F34562">
        <w:trPr>
          <w:trHeight w:val="210"/>
          <w:jc w:val="center"/>
        </w:trPr>
        <w:tc>
          <w:tcPr>
            <w:tcW w:w="4511"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C962BA" w:rsidRDefault="000E4B30" w:rsidP="00F34562">
            <w:pPr>
              <w:rPr>
                <w:color w:val="000000"/>
                <w:sz w:val="16"/>
                <w:szCs w:val="16"/>
              </w:rPr>
            </w:pPr>
            <w:r w:rsidRPr="00C962BA">
              <w:rPr>
                <w:color w:val="000000"/>
                <w:sz w:val="16"/>
                <w:szCs w:val="16"/>
              </w:rPr>
              <w:t>Pedro Cortes Rodríguez Recursos PROMEP 2013</w:t>
            </w:r>
          </w:p>
        </w:tc>
        <w:tc>
          <w:tcPr>
            <w:tcW w:w="1569" w:type="dxa"/>
            <w:tcBorders>
              <w:top w:val="nil"/>
              <w:left w:val="nil"/>
              <w:bottom w:val="single" w:sz="8" w:space="0" w:color="auto"/>
              <w:right w:val="single" w:sz="8" w:space="0" w:color="auto"/>
            </w:tcBorders>
            <w:shd w:val="clear" w:color="000000" w:fill="FFFFFF"/>
            <w:noWrap/>
            <w:vAlign w:val="center"/>
            <w:hideMark/>
          </w:tcPr>
          <w:p w:rsidR="000E4B30" w:rsidRPr="00C962BA" w:rsidRDefault="000E4B30" w:rsidP="00F34562">
            <w:pPr>
              <w:jc w:val="right"/>
              <w:rPr>
                <w:color w:val="000000"/>
                <w:sz w:val="16"/>
                <w:szCs w:val="16"/>
              </w:rPr>
            </w:pPr>
            <w:r w:rsidRPr="00C962BA">
              <w:rPr>
                <w:color w:val="000000"/>
                <w:sz w:val="16"/>
                <w:szCs w:val="16"/>
              </w:rPr>
              <w:t>14,516.00</w:t>
            </w:r>
          </w:p>
        </w:tc>
      </w:tr>
      <w:tr w:rsidR="000E4B30" w:rsidRPr="00C962BA" w:rsidTr="00F34562">
        <w:trPr>
          <w:trHeight w:val="210"/>
          <w:jc w:val="center"/>
        </w:trPr>
        <w:tc>
          <w:tcPr>
            <w:tcW w:w="4511"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C962BA" w:rsidRDefault="000E4B30" w:rsidP="00F34562">
            <w:pPr>
              <w:jc w:val="right"/>
              <w:rPr>
                <w:b/>
                <w:bCs/>
                <w:color w:val="000000"/>
                <w:sz w:val="16"/>
                <w:szCs w:val="16"/>
                <w:lang w:val="en-US"/>
              </w:rPr>
            </w:pPr>
            <w:r w:rsidRPr="00C962BA">
              <w:rPr>
                <w:b/>
                <w:bCs/>
                <w:color w:val="000000"/>
                <w:sz w:val="16"/>
                <w:szCs w:val="16"/>
                <w:lang w:val="en-US"/>
              </w:rPr>
              <w:t>TOTAL</w:t>
            </w:r>
          </w:p>
        </w:tc>
        <w:tc>
          <w:tcPr>
            <w:tcW w:w="1569" w:type="dxa"/>
            <w:tcBorders>
              <w:top w:val="nil"/>
              <w:left w:val="nil"/>
              <w:bottom w:val="single" w:sz="8" w:space="0" w:color="auto"/>
              <w:right w:val="single" w:sz="8" w:space="0" w:color="auto"/>
            </w:tcBorders>
            <w:shd w:val="clear" w:color="auto" w:fill="0070C0"/>
            <w:noWrap/>
            <w:vAlign w:val="center"/>
            <w:hideMark/>
          </w:tcPr>
          <w:p w:rsidR="000E4B30" w:rsidRPr="00C962BA" w:rsidRDefault="000E4B30" w:rsidP="00F34562">
            <w:pPr>
              <w:jc w:val="right"/>
              <w:rPr>
                <w:b/>
                <w:bCs/>
                <w:color w:val="000000"/>
                <w:sz w:val="16"/>
                <w:szCs w:val="16"/>
              </w:rPr>
            </w:pPr>
            <w:r w:rsidRPr="00C962BA">
              <w:rPr>
                <w:b/>
                <w:bCs/>
                <w:color w:val="000000"/>
                <w:sz w:val="16"/>
                <w:szCs w:val="16"/>
              </w:rPr>
              <w:t>$14,516.00</w:t>
            </w:r>
          </w:p>
        </w:tc>
      </w:tr>
    </w:tbl>
    <w:p w:rsidR="000E4B30" w:rsidRDefault="000E4B30" w:rsidP="000E4B30">
      <w:pPr>
        <w:jc w:val="both"/>
        <w:rPr>
          <w:color w:val="0070C0"/>
          <w:sz w:val="22"/>
          <w:szCs w:val="23"/>
        </w:rPr>
      </w:pPr>
    </w:p>
    <w:p w:rsidR="000E4B30" w:rsidRDefault="000E4B30" w:rsidP="000E4B30">
      <w:pPr>
        <w:jc w:val="both"/>
        <w:rPr>
          <w:color w:val="0070C0"/>
          <w:sz w:val="22"/>
          <w:szCs w:val="23"/>
        </w:rPr>
      </w:pPr>
    </w:p>
    <w:p w:rsidR="000E4B30" w:rsidRPr="00A23E16" w:rsidRDefault="000E4B30" w:rsidP="000E4B30">
      <w:pPr>
        <w:pStyle w:val="Prrafodelista"/>
        <w:numPr>
          <w:ilvl w:val="0"/>
          <w:numId w:val="14"/>
        </w:numPr>
        <w:spacing w:after="200" w:line="276" w:lineRule="auto"/>
        <w:jc w:val="both"/>
        <w:rPr>
          <w:color w:val="2E74B5" w:themeColor="accent1" w:themeShade="BF"/>
          <w:szCs w:val="23"/>
        </w:rPr>
      </w:pPr>
      <w:r w:rsidRPr="00A23E16">
        <w:rPr>
          <w:color w:val="2E74B5" w:themeColor="accent1" w:themeShade="BF"/>
          <w:szCs w:val="23"/>
        </w:rPr>
        <w:t>Ingresos por recuperar a Largo Plazo $26’305,288.49</w:t>
      </w:r>
    </w:p>
    <w:tbl>
      <w:tblPr>
        <w:tblW w:w="6086" w:type="dxa"/>
        <w:jc w:val="center"/>
        <w:tblCellMar>
          <w:left w:w="70" w:type="dxa"/>
          <w:right w:w="70" w:type="dxa"/>
        </w:tblCellMar>
        <w:tblLook w:val="04A0" w:firstRow="1" w:lastRow="0" w:firstColumn="1" w:lastColumn="0" w:noHBand="0" w:noVBand="1"/>
      </w:tblPr>
      <w:tblGrid>
        <w:gridCol w:w="4480"/>
        <w:gridCol w:w="1606"/>
      </w:tblGrid>
      <w:tr w:rsidR="000E4B30" w:rsidRPr="00950EDF" w:rsidTr="00F34562">
        <w:trPr>
          <w:trHeight w:val="210"/>
          <w:jc w:val="center"/>
        </w:trPr>
        <w:tc>
          <w:tcPr>
            <w:tcW w:w="6086" w:type="dxa"/>
            <w:gridSpan w:val="2"/>
            <w:tcBorders>
              <w:top w:val="single" w:sz="8" w:space="0" w:color="auto"/>
              <w:left w:val="single" w:sz="8" w:space="0" w:color="auto"/>
              <w:bottom w:val="single" w:sz="8" w:space="0" w:color="auto"/>
              <w:right w:val="single" w:sz="8" w:space="0" w:color="000000"/>
            </w:tcBorders>
            <w:shd w:val="clear" w:color="auto" w:fill="0070C0"/>
            <w:noWrap/>
            <w:vAlign w:val="center"/>
            <w:hideMark/>
          </w:tcPr>
          <w:p w:rsidR="000E4B30" w:rsidRPr="00950EDF" w:rsidRDefault="000E4B30" w:rsidP="00F34562">
            <w:pPr>
              <w:jc w:val="center"/>
              <w:rPr>
                <w:b/>
                <w:bCs/>
                <w:color w:val="000000"/>
                <w:sz w:val="16"/>
                <w:szCs w:val="16"/>
              </w:rPr>
            </w:pPr>
            <w:r w:rsidRPr="00950EDF">
              <w:rPr>
                <w:b/>
                <w:bCs/>
                <w:color w:val="000000"/>
                <w:sz w:val="16"/>
                <w:szCs w:val="16"/>
              </w:rPr>
              <w:t>INGRESOS POR RECUPERAR A LARGO PLAZO</w:t>
            </w:r>
          </w:p>
        </w:tc>
      </w:tr>
      <w:tr w:rsidR="000E4B30" w:rsidRPr="00950EDF" w:rsidTr="00F34562">
        <w:trPr>
          <w:trHeight w:val="210"/>
          <w:jc w:val="center"/>
        </w:trPr>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Recurso Federal Adeudado 2011</w:t>
            </w:r>
          </w:p>
        </w:tc>
        <w:tc>
          <w:tcPr>
            <w:tcW w:w="1606" w:type="dxa"/>
            <w:tcBorders>
              <w:top w:val="nil"/>
              <w:left w:val="nil"/>
              <w:bottom w:val="single" w:sz="8" w:space="0" w:color="auto"/>
              <w:right w:val="single" w:sz="8" w:space="0" w:color="auto"/>
            </w:tcBorders>
            <w:shd w:val="clear" w:color="000000" w:fill="FFFFFF"/>
            <w:noWrap/>
            <w:vAlign w:val="center"/>
            <w:hideMark/>
          </w:tcPr>
          <w:p w:rsidR="000E4B30" w:rsidRPr="00950EDF" w:rsidRDefault="000E4B30" w:rsidP="00F34562">
            <w:pPr>
              <w:jc w:val="right"/>
              <w:rPr>
                <w:color w:val="000000"/>
                <w:sz w:val="16"/>
                <w:szCs w:val="16"/>
              </w:rPr>
            </w:pPr>
            <w:r w:rsidRPr="00950EDF">
              <w:rPr>
                <w:color w:val="000000"/>
                <w:sz w:val="16"/>
                <w:szCs w:val="16"/>
              </w:rPr>
              <w:t>4,542,630.70</w:t>
            </w:r>
          </w:p>
        </w:tc>
      </w:tr>
      <w:tr w:rsidR="000E4B30" w:rsidRPr="00950EDF" w:rsidTr="00F34562">
        <w:trPr>
          <w:trHeight w:val="210"/>
          <w:jc w:val="center"/>
        </w:trPr>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Recurso Federal Adeudado 2012</w:t>
            </w:r>
          </w:p>
        </w:tc>
        <w:tc>
          <w:tcPr>
            <w:tcW w:w="1606" w:type="dxa"/>
            <w:tcBorders>
              <w:top w:val="nil"/>
              <w:left w:val="nil"/>
              <w:bottom w:val="single" w:sz="8" w:space="0" w:color="auto"/>
              <w:right w:val="single" w:sz="8" w:space="0" w:color="auto"/>
            </w:tcBorders>
            <w:shd w:val="clear" w:color="000000" w:fill="FFFFFF"/>
            <w:noWrap/>
            <w:vAlign w:val="center"/>
            <w:hideMark/>
          </w:tcPr>
          <w:p w:rsidR="000E4B30" w:rsidRPr="00950EDF" w:rsidRDefault="000E4B30" w:rsidP="00F34562">
            <w:pPr>
              <w:jc w:val="right"/>
              <w:rPr>
                <w:color w:val="000000"/>
                <w:sz w:val="16"/>
                <w:szCs w:val="16"/>
              </w:rPr>
            </w:pPr>
            <w:r w:rsidRPr="00950EDF">
              <w:rPr>
                <w:color w:val="000000"/>
                <w:sz w:val="16"/>
                <w:szCs w:val="16"/>
              </w:rPr>
              <w:t>1,193,927.00</w:t>
            </w:r>
          </w:p>
        </w:tc>
      </w:tr>
      <w:tr w:rsidR="000E4B30" w:rsidRPr="00950EDF" w:rsidTr="00F34562">
        <w:trPr>
          <w:trHeight w:val="210"/>
          <w:jc w:val="center"/>
        </w:trPr>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Recurso Federal Adeudado Refrendo 2013-2014</w:t>
            </w:r>
          </w:p>
        </w:tc>
        <w:tc>
          <w:tcPr>
            <w:tcW w:w="1606" w:type="dxa"/>
            <w:tcBorders>
              <w:top w:val="nil"/>
              <w:left w:val="nil"/>
              <w:bottom w:val="single" w:sz="8" w:space="0" w:color="auto"/>
              <w:right w:val="single" w:sz="8" w:space="0" w:color="auto"/>
            </w:tcBorders>
            <w:shd w:val="clear" w:color="000000" w:fill="FFFFFF"/>
            <w:noWrap/>
            <w:vAlign w:val="center"/>
            <w:hideMark/>
          </w:tcPr>
          <w:p w:rsidR="000E4B30" w:rsidRPr="00950EDF" w:rsidRDefault="000E4B30" w:rsidP="00F34562">
            <w:pPr>
              <w:jc w:val="right"/>
              <w:rPr>
                <w:color w:val="000000"/>
                <w:sz w:val="16"/>
                <w:szCs w:val="16"/>
              </w:rPr>
            </w:pPr>
            <w:r w:rsidRPr="00950EDF">
              <w:rPr>
                <w:color w:val="000000"/>
                <w:sz w:val="16"/>
                <w:szCs w:val="16"/>
              </w:rPr>
              <w:t>3,973.91</w:t>
            </w:r>
          </w:p>
        </w:tc>
      </w:tr>
      <w:tr w:rsidR="000E4B30" w:rsidRPr="00950EDF" w:rsidTr="00F34562">
        <w:trPr>
          <w:trHeight w:val="210"/>
          <w:jc w:val="center"/>
        </w:trPr>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Recurso Estatal Adeudado 2011</w:t>
            </w:r>
          </w:p>
        </w:tc>
        <w:tc>
          <w:tcPr>
            <w:tcW w:w="1606" w:type="dxa"/>
            <w:tcBorders>
              <w:top w:val="nil"/>
              <w:left w:val="nil"/>
              <w:bottom w:val="single" w:sz="8" w:space="0" w:color="auto"/>
              <w:right w:val="single" w:sz="8" w:space="0" w:color="auto"/>
            </w:tcBorders>
            <w:shd w:val="clear" w:color="000000" w:fill="FFFFFF"/>
            <w:noWrap/>
            <w:vAlign w:val="center"/>
            <w:hideMark/>
          </w:tcPr>
          <w:p w:rsidR="000E4B30" w:rsidRPr="00950EDF" w:rsidRDefault="000E4B30" w:rsidP="00F34562">
            <w:pPr>
              <w:jc w:val="right"/>
              <w:rPr>
                <w:color w:val="000000"/>
                <w:sz w:val="16"/>
                <w:szCs w:val="16"/>
              </w:rPr>
            </w:pPr>
            <w:r w:rsidRPr="00950EDF">
              <w:rPr>
                <w:color w:val="000000"/>
                <w:sz w:val="16"/>
                <w:szCs w:val="16"/>
              </w:rPr>
              <w:t>8,987,329.88</w:t>
            </w:r>
          </w:p>
        </w:tc>
      </w:tr>
      <w:tr w:rsidR="000E4B30" w:rsidRPr="00950EDF" w:rsidTr="00F34562">
        <w:trPr>
          <w:trHeight w:val="210"/>
          <w:jc w:val="center"/>
        </w:trPr>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Recurso Estatal Adeudado 2015</w:t>
            </w:r>
          </w:p>
        </w:tc>
        <w:tc>
          <w:tcPr>
            <w:tcW w:w="1606" w:type="dxa"/>
            <w:tcBorders>
              <w:top w:val="nil"/>
              <w:left w:val="nil"/>
              <w:bottom w:val="single" w:sz="8" w:space="0" w:color="auto"/>
              <w:right w:val="single" w:sz="8" w:space="0" w:color="auto"/>
            </w:tcBorders>
            <w:shd w:val="clear" w:color="000000" w:fill="FFFFFF"/>
            <w:noWrap/>
            <w:vAlign w:val="center"/>
            <w:hideMark/>
          </w:tcPr>
          <w:p w:rsidR="000E4B30" w:rsidRPr="00950EDF" w:rsidRDefault="000E4B30" w:rsidP="00F34562">
            <w:pPr>
              <w:jc w:val="right"/>
              <w:rPr>
                <w:color w:val="000000"/>
                <w:sz w:val="16"/>
                <w:szCs w:val="16"/>
              </w:rPr>
            </w:pPr>
            <w:r w:rsidRPr="00950EDF">
              <w:rPr>
                <w:color w:val="000000"/>
                <w:sz w:val="16"/>
                <w:szCs w:val="16"/>
              </w:rPr>
              <w:t>3,538,103.00</w:t>
            </w:r>
          </w:p>
        </w:tc>
      </w:tr>
      <w:tr w:rsidR="000E4B30" w:rsidRPr="00950EDF" w:rsidTr="00F34562">
        <w:trPr>
          <w:trHeight w:val="210"/>
          <w:jc w:val="center"/>
        </w:trPr>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Recurso Estatal Adeudado 2016</w:t>
            </w:r>
          </w:p>
        </w:tc>
        <w:tc>
          <w:tcPr>
            <w:tcW w:w="1606" w:type="dxa"/>
            <w:tcBorders>
              <w:top w:val="nil"/>
              <w:left w:val="nil"/>
              <w:bottom w:val="single" w:sz="8" w:space="0" w:color="auto"/>
              <w:right w:val="single" w:sz="8" w:space="0" w:color="auto"/>
            </w:tcBorders>
            <w:shd w:val="clear" w:color="000000" w:fill="FFFFFF"/>
            <w:noWrap/>
            <w:vAlign w:val="center"/>
            <w:hideMark/>
          </w:tcPr>
          <w:p w:rsidR="000E4B30" w:rsidRPr="00950EDF" w:rsidRDefault="000E4B30" w:rsidP="00F34562">
            <w:pPr>
              <w:jc w:val="right"/>
              <w:rPr>
                <w:color w:val="000000"/>
                <w:sz w:val="16"/>
                <w:szCs w:val="16"/>
              </w:rPr>
            </w:pPr>
            <w:r w:rsidRPr="00950EDF">
              <w:rPr>
                <w:color w:val="000000"/>
                <w:sz w:val="16"/>
                <w:szCs w:val="16"/>
              </w:rPr>
              <w:t>2,757,406.00</w:t>
            </w:r>
          </w:p>
        </w:tc>
      </w:tr>
      <w:tr w:rsidR="000E4B30" w:rsidRPr="00950EDF" w:rsidTr="00F34562">
        <w:trPr>
          <w:trHeight w:val="210"/>
          <w:jc w:val="center"/>
        </w:trPr>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Recurso Estatal Adeudado 2017</w:t>
            </w:r>
          </w:p>
        </w:tc>
        <w:tc>
          <w:tcPr>
            <w:tcW w:w="1606" w:type="dxa"/>
            <w:tcBorders>
              <w:top w:val="nil"/>
              <w:left w:val="nil"/>
              <w:bottom w:val="single" w:sz="8" w:space="0" w:color="auto"/>
              <w:right w:val="single" w:sz="8" w:space="0" w:color="auto"/>
            </w:tcBorders>
            <w:shd w:val="clear" w:color="000000" w:fill="FFFFFF"/>
            <w:noWrap/>
            <w:vAlign w:val="center"/>
            <w:hideMark/>
          </w:tcPr>
          <w:p w:rsidR="000E4B30" w:rsidRPr="00950EDF" w:rsidRDefault="000E4B30" w:rsidP="00F34562">
            <w:pPr>
              <w:jc w:val="right"/>
              <w:rPr>
                <w:color w:val="000000"/>
                <w:sz w:val="16"/>
                <w:szCs w:val="16"/>
              </w:rPr>
            </w:pPr>
            <w:r w:rsidRPr="00950EDF">
              <w:rPr>
                <w:color w:val="000000"/>
                <w:sz w:val="16"/>
                <w:szCs w:val="16"/>
              </w:rPr>
              <w:t>5,281,918.00</w:t>
            </w:r>
          </w:p>
        </w:tc>
      </w:tr>
      <w:tr w:rsidR="000E4B30" w:rsidRPr="00950EDF" w:rsidTr="00F34562">
        <w:trPr>
          <w:trHeight w:val="210"/>
          <w:jc w:val="center"/>
        </w:trPr>
        <w:tc>
          <w:tcPr>
            <w:tcW w:w="4480"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jc w:val="right"/>
              <w:rPr>
                <w:b/>
                <w:bCs/>
                <w:color w:val="000000"/>
                <w:sz w:val="16"/>
                <w:szCs w:val="16"/>
                <w:lang w:val="en-US"/>
              </w:rPr>
            </w:pPr>
            <w:r w:rsidRPr="00950EDF">
              <w:rPr>
                <w:b/>
                <w:bCs/>
                <w:color w:val="000000"/>
                <w:sz w:val="16"/>
                <w:szCs w:val="16"/>
                <w:lang w:val="en-US"/>
              </w:rPr>
              <w:t xml:space="preserve">TOTAL </w:t>
            </w:r>
          </w:p>
        </w:tc>
        <w:tc>
          <w:tcPr>
            <w:tcW w:w="1606" w:type="dxa"/>
            <w:tcBorders>
              <w:top w:val="nil"/>
              <w:left w:val="nil"/>
              <w:bottom w:val="single" w:sz="8" w:space="0" w:color="auto"/>
              <w:right w:val="single" w:sz="8" w:space="0" w:color="auto"/>
            </w:tcBorders>
            <w:shd w:val="clear" w:color="auto" w:fill="0070C0"/>
            <w:noWrap/>
            <w:vAlign w:val="center"/>
            <w:hideMark/>
          </w:tcPr>
          <w:p w:rsidR="000E4B30" w:rsidRPr="00950EDF" w:rsidRDefault="000E4B30" w:rsidP="00F34562">
            <w:pPr>
              <w:jc w:val="right"/>
              <w:rPr>
                <w:b/>
                <w:bCs/>
                <w:color w:val="000000"/>
                <w:sz w:val="16"/>
                <w:szCs w:val="16"/>
              </w:rPr>
            </w:pPr>
            <w:r w:rsidRPr="00950EDF">
              <w:rPr>
                <w:b/>
                <w:bCs/>
                <w:color w:val="000000"/>
                <w:sz w:val="16"/>
                <w:szCs w:val="16"/>
              </w:rPr>
              <w:t>$26,305,288.49</w:t>
            </w:r>
          </w:p>
        </w:tc>
      </w:tr>
    </w:tbl>
    <w:p w:rsidR="000E4B30" w:rsidRDefault="000E4B30" w:rsidP="000E4B30">
      <w:pPr>
        <w:ind w:left="708"/>
        <w:rPr>
          <w:sz w:val="22"/>
          <w:szCs w:val="23"/>
        </w:rPr>
      </w:pPr>
    </w:p>
    <w:p w:rsidR="000E4B30" w:rsidRPr="009C1F58" w:rsidRDefault="000E4B30" w:rsidP="000E4B30">
      <w:pPr>
        <w:ind w:left="708"/>
        <w:jc w:val="both"/>
        <w:rPr>
          <w:sz w:val="22"/>
          <w:szCs w:val="23"/>
        </w:rPr>
      </w:pPr>
      <w:r w:rsidRPr="009C1F58">
        <w:rPr>
          <w:sz w:val="22"/>
          <w:szCs w:val="23"/>
        </w:rPr>
        <w:t>Se han realizado las gestiones</w:t>
      </w:r>
      <w:r>
        <w:rPr>
          <w:sz w:val="22"/>
          <w:szCs w:val="23"/>
        </w:rPr>
        <w:t xml:space="preserve"> pertinentes</w:t>
      </w:r>
      <w:r w:rsidRPr="009C1F58">
        <w:rPr>
          <w:sz w:val="22"/>
          <w:szCs w:val="23"/>
        </w:rPr>
        <w:t xml:space="preserve"> de recuperación de adeudos ante</w:t>
      </w:r>
      <w:r>
        <w:rPr>
          <w:sz w:val="22"/>
          <w:szCs w:val="23"/>
        </w:rPr>
        <w:t xml:space="preserve"> la Secretaria de </w:t>
      </w:r>
      <w:r w:rsidRPr="009C1F58">
        <w:rPr>
          <w:sz w:val="22"/>
          <w:szCs w:val="23"/>
        </w:rPr>
        <w:t>Finanzas y Administración</w:t>
      </w:r>
      <w:r>
        <w:rPr>
          <w:sz w:val="22"/>
          <w:szCs w:val="23"/>
        </w:rPr>
        <w:t>,</w:t>
      </w:r>
      <w:r w:rsidRPr="009C1F58">
        <w:rPr>
          <w:sz w:val="22"/>
          <w:szCs w:val="23"/>
        </w:rPr>
        <w:t xml:space="preserve"> sin </w:t>
      </w:r>
      <w:r>
        <w:rPr>
          <w:sz w:val="22"/>
          <w:szCs w:val="23"/>
        </w:rPr>
        <w:t xml:space="preserve">obtener </w:t>
      </w:r>
      <w:r w:rsidRPr="009C1F58">
        <w:rPr>
          <w:sz w:val="22"/>
          <w:szCs w:val="23"/>
        </w:rPr>
        <w:t>éxito.</w:t>
      </w:r>
    </w:p>
    <w:p w:rsidR="000E4B30" w:rsidRDefault="000E4B30" w:rsidP="000E4B30">
      <w:pPr>
        <w:rPr>
          <w:b/>
          <w:color w:val="0070C0"/>
          <w:sz w:val="22"/>
          <w:szCs w:val="23"/>
        </w:rPr>
      </w:pPr>
    </w:p>
    <w:p w:rsidR="000E4B30" w:rsidRDefault="000E4B30" w:rsidP="000E4B30">
      <w:pPr>
        <w:rPr>
          <w:b/>
          <w:color w:val="0070C0"/>
          <w:sz w:val="22"/>
          <w:szCs w:val="23"/>
        </w:rPr>
      </w:pPr>
    </w:p>
    <w:p w:rsidR="000E4B30" w:rsidRPr="00A23E16" w:rsidRDefault="000E4B30" w:rsidP="000E4B30">
      <w:pPr>
        <w:pStyle w:val="Prrafodelista"/>
        <w:numPr>
          <w:ilvl w:val="0"/>
          <w:numId w:val="18"/>
        </w:numPr>
        <w:spacing w:after="200" w:line="276" w:lineRule="auto"/>
        <w:ind w:left="709"/>
        <w:jc w:val="both"/>
        <w:rPr>
          <w:color w:val="2E74B5" w:themeColor="accent1" w:themeShade="BF"/>
          <w:szCs w:val="23"/>
        </w:rPr>
      </w:pPr>
      <w:r w:rsidRPr="00A23E16">
        <w:rPr>
          <w:b/>
          <w:color w:val="2E74B5" w:themeColor="accent1" w:themeShade="BF"/>
          <w:szCs w:val="23"/>
        </w:rPr>
        <w:t>Bienes Inmuebles, Infraestructura y Construcciones en proceso $</w:t>
      </w:r>
      <w:r w:rsidRPr="00814386">
        <w:t xml:space="preserve"> </w:t>
      </w:r>
      <w:r w:rsidRPr="008C15B8">
        <w:rPr>
          <w:b/>
          <w:color w:val="2E74B5" w:themeColor="accent1" w:themeShade="BF"/>
          <w:szCs w:val="23"/>
        </w:rPr>
        <w:t>245</w:t>
      </w:r>
      <w:r>
        <w:rPr>
          <w:b/>
          <w:color w:val="2E74B5" w:themeColor="accent1" w:themeShade="BF"/>
          <w:szCs w:val="23"/>
        </w:rPr>
        <w:t>’</w:t>
      </w:r>
      <w:r w:rsidRPr="008C15B8">
        <w:rPr>
          <w:b/>
          <w:color w:val="2E74B5" w:themeColor="accent1" w:themeShade="BF"/>
          <w:szCs w:val="23"/>
        </w:rPr>
        <w:t>123</w:t>
      </w:r>
      <w:r>
        <w:rPr>
          <w:b/>
          <w:color w:val="2E74B5" w:themeColor="accent1" w:themeShade="BF"/>
          <w:szCs w:val="23"/>
        </w:rPr>
        <w:t>,</w:t>
      </w:r>
      <w:r w:rsidRPr="008C15B8">
        <w:rPr>
          <w:b/>
          <w:color w:val="2E74B5" w:themeColor="accent1" w:themeShade="BF"/>
          <w:szCs w:val="23"/>
        </w:rPr>
        <w:t>857.4</w:t>
      </w:r>
      <w:r>
        <w:rPr>
          <w:b/>
          <w:color w:val="2E74B5" w:themeColor="accent1" w:themeShade="BF"/>
          <w:szCs w:val="23"/>
        </w:rPr>
        <w:t>0</w:t>
      </w:r>
    </w:p>
    <w:p w:rsidR="000E4B30" w:rsidRPr="009C1F58" w:rsidRDefault="000E4B30" w:rsidP="000E4B30">
      <w:pPr>
        <w:ind w:firstLine="708"/>
        <w:jc w:val="both"/>
        <w:rPr>
          <w:sz w:val="22"/>
          <w:szCs w:val="23"/>
        </w:rPr>
      </w:pPr>
      <w:r w:rsidRPr="00814386">
        <w:rPr>
          <w:b/>
          <w:sz w:val="22"/>
          <w:szCs w:val="23"/>
        </w:rPr>
        <w:t>Bienes inmuebles, infraestructura</w:t>
      </w:r>
      <w:r w:rsidRPr="009C1F58">
        <w:rPr>
          <w:sz w:val="22"/>
          <w:szCs w:val="23"/>
        </w:rPr>
        <w:t>. - Terreno Donado, Edificios no habitacionales.</w:t>
      </w:r>
    </w:p>
    <w:p w:rsidR="000E4B30" w:rsidRPr="009C1F58" w:rsidRDefault="000E4B30" w:rsidP="000E4B30">
      <w:pPr>
        <w:jc w:val="both"/>
        <w:rPr>
          <w:b/>
          <w:i/>
          <w:color w:val="0070C0"/>
          <w:sz w:val="22"/>
          <w:szCs w:val="23"/>
        </w:rPr>
      </w:pPr>
    </w:p>
    <w:p w:rsidR="000E4B30" w:rsidRPr="00A23E16" w:rsidRDefault="000E4B30" w:rsidP="000E4B30">
      <w:pPr>
        <w:pStyle w:val="Prrafodelista"/>
        <w:numPr>
          <w:ilvl w:val="0"/>
          <w:numId w:val="18"/>
        </w:numPr>
        <w:spacing w:after="200" w:line="276" w:lineRule="auto"/>
        <w:ind w:left="709"/>
        <w:jc w:val="both"/>
        <w:rPr>
          <w:color w:val="2E74B5" w:themeColor="accent1" w:themeShade="BF"/>
          <w:szCs w:val="23"/>
        </w:rPr>
      </w:pPr>
      <w:r w:rsidRPr="00A23E16">
        <w:rPr>
          <w:b/>
          <w:color w:val="2E74B5" w:themeColor="accent1" w:themeShade="BF"/>
          <w:szCs w:val="23"/>
        </w:rPr>
        <w:t>Bienes Muebles $</w:t>
      </w:r>
      <w:r w:rsidRPr="00A23E16">
        <w:rPr>
          <w:color w:val="2E74B5" w:themeColor="accent1" w:themeShade="BF"/>
        </w:rPr>
        <w:t xml:space="preserve"> </w:t>
      </w:r>
      <w:r w:rsidRPr="00C04B83">
        <w:rPr>
          <w:b/>
          <w:color w:val="2E74B5" w:themeColor="accent1" w:themeShade="BF"/>
          <w:szCs w:val="23"/>
        </w:rPr>
        <w:t>126</w:t>
      </w:r>
      <w:r>
        <w:rPr>
          <w:b/>
          <w:color w:val="2E74B5" w:themeColor="accent1" w:themeShade="BF"/>
          <w:szCs w:val="23"/>
        </w:rPr>
        <w:t>’</w:t>
      </w:r>
      <w:r w:rsidRPr="00C04B83">
        <w:rPr>
          <w:b/>
          <w:color w:val="2E74B5" w:themeColor="accent1" w:themeShade="BF"/>
          <w:szCs w:val="23"/>
        </w:rPr>
        <w:t>169</w:t>
      </w:r>
      <w:r>
        <w:rPr>
          <w:b/>
          <w:color w:val="2E74B5" w:themeColor="accent1" w:themeShade="BF"/>
          <w:szCs w:val="23"/>
        </w:rPr>
        <w:t>,</w:t>
      </w:r>
      <w:r w:rsidRPr="00C04B83">
        <w:rPr>
          <w:b/>
          <w:color w:val="2E74B5" w:themeColor="accent1" w:themeShade="BF"/>
          <w:szCs w:val="23"/>
        </w:rPr>
        <w:t>836.9</w:t>
      </w:r>
      <w:r>
        <w:rPr>
          <w:b/>
          <w:color w:val="2E74B5" w:themeColor="accent1" w:themeShade="BF"/>
          <w:szCs w:val="23"/>
        </w:rPr>
        <w:t>0</w:t>
      </w:r>
    </w:p>
    <w:p w:rsidR="000E4B30" w:rsidRPr="009C1F58" w:rsidRDefault="000E4B30" w:rsidP="000E4B30">
      <w:pPr>
        <w:ind w:left="708"/>
        <w:jc w:val="both"/>
        <w:rPr>
          <w:sz w:val="22"/>
          <w:szCs w:val="23"/>
        </w:rPr>
      </w:pPr>
      <w:r w:rsidRPr="009C1F58">
        <w:rPr>
          <w:b/>
          <w:sz w:val="22"/>
          <w:szCs w:val="23"/>
        </w:rPr>
        <w:t>Bienes muebles</w:t>
      </w:r>
      <w:r w:rsidRPr="009C1F58">
        <w:rPr>
          <w:sz w:val="22"/>
          <w:szCs w:val="23"/>
        </w:rPr>
        <w:t xml:space="preserve">.- </w:t>
      </w:r>
      <w:r w:rsidRPr="009C1F58">
        <w:rPr>
          <w:i/>
          <w:sz w:val="22"/>
          <w:szCs w:val="23"/>
        </w:rPr>
        <w:t>Mobiliario y Equipo de Administración</w:t>
      </w:r>
      <w:r w:rsidRPr="009C1F58">
        <w:rPr>
          <w:sz w:val="22"/>
          <w:szCs w:val="23"/>
        </w:rPr>
        <w:t xml:space="preserve">: Mobiliario, Equipo de Administración, Equipo y Bienes Informáticos; </w:t>
      </w:r>
      <w:r w:rsidRPr="009C1F58">
        <w:rPr>
          <w:i/>
          <w:sz w:val="22"/>
          <w:szCs w:val="23"/>
        </w:rPr>
        <w:t>Mobiliario y Equipo Educacional y Recreativo</w:t>
      </w:r>
      <w:r w:rsidRPr="009C1F58">
        <w:rPr>
          <w:sz w:val="22"/>
          <w:szCs w:val="23"/>
        </w:rPr>
        <w:t xml:space="preserve">: Equipo de  Fotografía y Cinematografía, Equipo de Fotografía, y Mobiliario y Equipo para Aulas; </w:t>
      </w:r>
      <w:r w:rsidRPr="009C1F58">
        <w:rPr>
          <w:i/>
          <w:sz w:val="22"/>
          <w:szCs w:val="23"/>
        </w:rPr>
        <w:t>Equipo e Instrumental Médico y de Laboratorio</w:t>
      </w:r>
      <w:r w:rsidRPr="009C1F58">
        <w:rPr>
          <w:sz w:val="22"/>
          <w:szCs w:val="23"/>
        </w:rPr>
        <w:t xml:space="preserve">: Mobiliario y Equipo de Laboratorio, Equipo de Laboratorio, Equipo Médico y Laboratorio, y Laboratorio de Energía; </w:t>
      </w:r>
      <w:r w:rsidRPr="009C1F58">
        <w:rPr>
          <w:i/>
          <w:sz w:val="22"/>
          <w:szCs w:val="23"/>
        </w:rPr>
        <w:t>Equipo de Transporte</w:t>
      </w:r>
      <w:r w:rsidRPr="009C1F58">
        <w:rPr>
          <w:sz w:val="22"/>
          <w:szCs w:val="23"/>
        </w:rPr>
        <w:t xml:space="preserve">; </w:t>
      </w:r>
      <w:r w:rsidRPr="009C1F58">
        <w:rPr>
          <w:i/>
          <w:sz w:val="22"/>
          <w:szCs w:val="23"/>
        </w:rPr>
        <w:t>Maquinaria, Otros Equipos y Herramientas</w:t>
      </w:r>
      <w:r w:rsidRPr="009C1F58">
        <w:rPr>
          <w:sz w:val="22"/>
          <w:szCs w:val="23"/>
        </w:rPr>
        <w:t xml:space="preserve">: Maquinaria y Equipo Comunicaciones y Telecomunicaciones, Herramientas y Máquinas Herramienta, Maquinaria y Equipo Eléctrico y Electrónico, Refacciones y Accesorios Menores; </w:t>
      </w:r>
      <w:r w:rsidRPr="009C1F58">
        <w:rPr>
          <w:i/>
          <w:sz w:val="22"/>
          <w:szCs w:val="23"/>
        </w:rPr>
        <w:t>Colecciones Obras de Arte y Objetos Valiosos</w:t>
      </w:r>
      <w:r w:rsidRPr="009C1F58">
        <w:rPr>
          <w:sz w:val="22"/>
          <w:szCs w:val="23"/>
        </w:rPr>
        <w:t xml:space="preserve">: Bienes Artísticos y Culturales, y Material Bibliográfico (Biblioteca). </w:t>
      </w:r>
    </w:p>
    <w:p w:rsidR="000E4B30" w:rsidRDefault="000E4B30" w:rsidP="000E4B30">
      <w:pPr>
        <w:ind w:firstLine="708"/>
        <w:jc w:val="both"/>
        <w:rPr>
          <w:sz w:val="22"/>
          <w:szCs w:val="23"/>
        </w:rPr>
      </w:pPr>
      <w:r w:rsidRPr="009C1F58">
        <w:rPr>
          <w:sz w:val="22"/>
          <w:szCs w:val="23"/>
        </w:rPr>
        <w:t xml:space="preserve">Todos los bienes muebles están valuados al costo de adquisición conforme a factura. </w:t>
      </w:r>
    </w:p>
    <w:p w:rsidR="000E4B30" w:rsidRPr="009C1F58" w:rsidRDefault="000E4B30" w:rsidP="000E4B30">
      <w:pPr>
        <w:ind w:firstLine="708"/>
        <w:jc w:val="both"/>
        <w:rPr>
          <w:sz w:val="22"/>
          <w:szCs w:val="23"/>
        </w:rPr>
      </w:pPr>
    </w:p>
    <w:p w:rsidR="000E4B30" w:rsidRPr="00A23E16" w:rsidRDefault="000E4B30" w:rsidP="000E4B30">
      <w:pPr>
        <w:pStyle w:val="Prrafodelista"/>
        <w:numPr>
          <w:ilvl w:val="0"/>
          <w:numId w:val="17"/>
        </w:numPr>
        <w:spacing w:after="200" w:line="276" w:lineRule="auto"/>
        <w:ind w:left="709"/>
        <w:jc w:val="both"/>
        <w:rPr>
          <w:color w:val="2E74B5" w:themeColor="accent1" w:themeShade="BF"/>
          <w:szCs w:val="23"/>
        </w:rPr>
      </w:pPr>
      <w:r w:rsidRPr="00A23E16">
        <w:rPr>
          <w:b/>
          <w:color w:val="2E74B5" w:themeColor="accent1" w:themeShade="BF"/>
          <w:szCs w:val="23"/>
        </w:rPr>
        <w:t>Activos Intangibles $3’535,379.07</w:t>
      </w:r>
    </w:p>
    <w:p w:rsidR="000E4B30" w:rsidRDefault="000E4B30" w:rsidP="000E4B30">
      <w:pPr>
        <w:ind w:firstLine="708"/>
        <w:jc w:val="both"/>
        <w:rPr>
          <w:sz w:val="22"/>
          <w:szCs w:val="23"/>
        </w:rPr>
      </w:pPr>
      <w:r w:rsidRPr="009C1F58">
        <w:rPr>
          <w:b/>
          <w:sz w:val="22"/>
          <w:szCs w:val="23"/>
        </w:rPr>
        <w:t>Activos intangibles</w:t>
      </w:r>
      <w:r w:rsidRPr="009C1F58">
        <w:rPr>
          <w:sz w:val="22"/>
          <w:szCs w:val="23"/>
        </w:rPr>
        <w:t xml:space="preserve">. - Software y Licencias. </w:t>
      </w:r>
    </w:p>
    <w:p w:rsidR="000E4B30" w:rsidRDefault="000E4B30" w:rsidP="000E4B30">
      <w:pPr>
        <w:ind w:left="709"/>
        <w:jc w:val="both"/>
        <w:rPr>
          <w:sz w:val="22"/>
          <w:szCs w:val="23"/>
        </w:rPr>
      </w:pPr>
      <w:r>
        <w:rPr>
          <w:sz w:val="22"/>
          <w:szCs w:val="23"/>
        </w:rPr>
        <w:t>En este rubro se tiene saldo a la fecha de $3’535,379.07, correspondiendo al Software la cantidad de $3’038,718.74 y $496,660.33 a Licencias.</w:t>
      </w:r>
    </w:p>
    <w:p w:rsidR="000E4B30" w:rsidRPr="00113090" w:rsidRDefault="000E4B30" w:rsidP="000E4B30">
      <w:pPr>
        <w:pStyle w:val="Prrafodelista"/>
        <w:ind w:left="709"/>
        <w:jc w:val="both"/>
        <w:rPr>
          <w:color w:val="2E74B5" w:themeColor="accent1" w:themeShade="BF"/>
          <w:szCs w:val="23"/>
        </w:rPr>
      </w:pPr>
    </w:p>
    <w:p w:rsidR="000E4B30" w:rsidRPr="00A23E16" w:rsidRDefault="000E4B30" w:rsidP="000E4B30">
      <w:pPr>
        <w:pStyle w:val="Prrafodelista"/>
        <w:numPr>
          <w:ilvl w:val="0"/>
          <w:numId w:val="17"/>
        </w:numPr>
        <w:spacing w:after="200" w:line="276" w:lineRule="auto"/>
        <w:ind w:left="709"/>
        <w:jc w:val="both"/>
        <w:rPr>
          <w:color w:val="2E74B5" w:themeColor="accent1" w:themeShade="BF"/>
          <w:szCs w:val="23"/>
        </w:rPr>
      </w:pPr>
      <w:r w:rsidRPr="00A23E16">
        <w:rPr>
          <w:b/>
          <w:color w:val="2E74B5" w:themeColor="accent1" w:themeShade="BF"/>
          <w:szCs w:val="23"/>
        </w:rPr>
        <w:t>Depreciación, Deterioro y Amortización acumulada de Bienes $</w:t>
      </w:r>
      <w:r w:rsidRPr="00A23E16">
        <w:rPr>
          <w:color w:val="2E74B5" w:themeColor="accent1" w:themeShade="BF"/>
        </w:rPr>
        <w:t xml:space="preserve"> </w:t>
      </w:r>
      <w:r w:rsidRPr="00765309">
        <w:rPr>
          <w:b/>
          <w:color w:val="2E74B5" w:themeColor="accent1" w:themeShade="BF"/>
          <w:szCs w:val="23"/>
        </w:rPr>
        <w:t>263</w:t>
      </w:r>
      <w:r>
        <w:rPr>
          <w:b/>
          <w:color w:val="2E74B5" w:themeColor="accent1" w:themeShade="BF"/>
          <w:szCs w:val="23"/>
        </w:rPr>
        <w:t>’</w:t>
      </w:r>
      <w:r w:rsidRPr="00765309">
        <w:rPr>
          <w:b/>
          <w:color w:val="2E74B5" w:themeColor="accent1" w:themeShade="BF"/>
          <w:szCs w:val="23"/>
        </w:rPr>
        <w:t>307</w:t>
      </w:r>
      <w:r>
        <w:rPr>
          <w:b/>
          <w:color w:val="2E74B5" w:themeColor="accent1" w:themeShade="BF"/>
          <w:szCs w:val="23"/>
        </w:rPr>
        <w:t>,</w:t>
      </w:r>
      <w:r w:rsidRPr="00765309">
        <w:rPr>
          <w:b/>
          <w:color w:val="2E74B5" w:themeColor="accent1" w:themeShade="BF"/>
          <w:szCs w:val="23"/>
        </w:rPr>
        <w:t>143.69</w:t>
      </w:r>
    </w:p>
    <w:p w:rsidR="000E4B30" w:rsidRDefault="000E4B30" w:rsidP="000E4B30">
      <w:pPr>
        <w:ind w:left="360"/>
        <w:jc w:val="both"/>
        <w:rPr>
          <w:sz w:val="22"/>
          <w:szCs w:val="23"/>
        </w:rPr>
      </w:pPr>
      <w:r w:rsidRPr="009C1F58">
        <w:rPr>
          <w:sz w:val="22"/>
          <w:szCs w:val="23"/>
        </w:rPr>
        <w:t>Depreciación acumulada de bienes inmuebles y muebles. Amortización acu</w:t>
      </w:r>
      <w:r>
        <w:rPr>
          <w:sz w:val="22"/>
          <w:szCs w:val="23"/>
        </w:rPr>
        <w:t xml:space="preserve">mulada de activos intangibles. </w:t>
      </w:r>
      <w:r w:rsidRPr="009C1F58">
        <w:rPr>
          <w:sz w:val="22"/>
          <w:szCs w:val="23"/>
        </w:rPr>
        <w:t>Se aplicó la depreciación y amortización de bienes inmuebles e intangibles correspondiente al presente mes.</w:t>
      </w:r>
      <w:r>
        <w:rPr>
          <w:sz w:val="22"/>
          <w:szCs w:val="23"/>
        </w:rPr>
        <w:t xml:space="preserve"> </w:t>
      </w:r>
      <w:r w:rsidRPr="009C1F58">
        <w:rPr>
          <w:sz w:val="22"/>
          <w:szCs w:val="23"/>
        </w:rPr>
        <w:t>Se aplica la depreciación en línea recta y la amortización lineal de acuerdo a los siguientes porcentajes:</w:t>
      </w:r>
    </w:p>
    <w:p w:rsidR="000E4B30" w:rsidRDefault="000E4B30" w:rsidP="000E4B30">
      <w:pPr>
        <w:ind w:firstLine="708"/>
        <w:jc w:val="both"/>
        <w:rPr>
          <w:sz w:val="22"/>
          <w:szCs w:val="23"/>
        </w:rPr>
      </w:pPr>
    </w:p>
    <w:p w:rsidR="000E4B30" w:rsidRPr="009C1F58" w:rsidRDefault="000E4B30" w:rsidP="000E4B30">
      <w:pPr>
        <w:ind w:firstLine="708"/>
        <w:jc w:val="both"/>
        <w:rPr>
          <w:sz w:val="22"/>
          <w:szCs w:val="23"/>
        </w:rPr>
      </w:pPr>
    </w:p>
    <w:tbl>
      <w:tblPr>
        <w:tblW w:w="8070" w:type="dxa"/>
        <w:jc w:val="center"/>
        <w:tblCellMar>
          <w:left w:w="70" w:type="dxa"/>
          <w:right w:w="70" w:type="dxa"/>
        </w:tblCellMar>
        <w:tblLook w:val="04A0" w:firstRow="1" w:lastRow="0" w:firstColumn="1" w:lastColumn="0" w:noHBand="0" w:noVBand="1"/>
      </w:tblPr>
      <w:tblGrid>
        <w:gridCol w:w="543"/>
        <w:gridCol w:w="534"/>
        <w:gridCol w:w="631"/>
        <w:gridCol w:w="639"/>
        <w:gridCol w:w="1091"/>
        <w:gridCol w:w="3394"/>
        <w:gridCol w:w="1238"/>
      </w:tblGrid>
      <w:tr w:rsidR="000E4B30" w:rsidRPr="009C1F58" w:rsidTr="00F34562">
        <w:trPr>
          <w:trHeight w:val="465"/>
          <w:jc w:val="center"/>
        </w:trPr>
        <w:tc>
          <w:tcPr>
            <w:tcW w:w="547"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E4B30" w:rsidRPr="009C1F58" w:rsidRDefault="000E4B30" w:rsidP="00F34562">
            <w:pPr>
              <w:jc w:val="center"/>
              <w:rPr>
                <w:rFonts w:ascii="Tahoma" w:hAnsi="Tahoma" w:cs="Tahoma"/>
                <w:b/>
                <w:bCs/>
                <w:color w:val="000000"/>
                <w:sz w:val="12"/>
                <w:szCs w:val="18"/>
              </w:rPr>
            </w:pPr>
            <w:r w:rsidRPr="009C1F58">
              <w:rPr>
                <w:rFonts w:ascii="Tahoma" w:hAnsi="Tahoma" w:cs="Tahoma"/>
                <w:b/>
                <w:bCs/>
                <w:color w:val="000000"/>
                <w:sz w:val="12"/>
                <w:szCs w:val="18"/>
              </w:rPr>
              <w:t>Grupo</w:t>
            </w:r>
          </w:p>
        </w:tc>
        <w:tc>
          <w:tcPr>
            <w:tcW w:w="538" w:type="dxa"/>
            <w:tcBorders>
              <w:top w:val="single" w:sz="8" w:space="0" w:color="auto"/>
              <w:left w:val="nil"/>
              <w:bottom w:val="single" w:sz="8" w:space="0" w:color="auto"/>
              <w:right w:val="single" w:sz="8" w:space="0" w:color="auto"/>
            </w:tcBorders>
            <w:shd w:val="clear" w:color="000000" w:fill="BFBFBF"/>
            <w:vAlign w:val="center"/>
            <w:hideMark/>
          </w:tcPr>
          <w:p w:rsidR="000E4B30" w:rsidRPr="009C1F58" w:rsidRDefault="000E4B30" w:rsidP="00F34562">
            <w:pPr>
              <w:jc w:val="center"/>
              <w:rPr>
                <w:rFonts w:ascii="Tahoma" w:hAnsi="Tahoma" w:cs="Tahoma"/>
                <w:b/>
                <w:bCs/>
                <w:color w:val="000000"/>
                <w:sz w:val="12"/>
                <w:szCs w:val="18"/>
              </w:rPr>
            </w:pPr>
            <w:r w:rsidRPr="009C1F58">
              <w:rPr>
                <w:rFonts w:ascii="Tahoma" w:hAnsi="Tahoma" w:cs="Tahoma"/>
                <w:b/>
                <w:bCs/>
                <w:color w:val="000000"/>
                <w:sz w:val="12"/>
                <w:szCs w:val="18"/>
              </w:rPr>
              <w:t>Rubro</w:t>
            </w:r>
          </w:p>
        </w:tc>
        <w:tc>
          <w:tcPr>
            <w:tcW w:w="640" w:type="dxa"/>
            <w:tcBorders>
              <w:top w:val="single" w:sz="8" w:space="0" w:color="auto"/>
              <w:left w:val="nil"/>
              <w:bottom w:val="single" w:sz="8" w:space="0" w:color="auto"/>
              <w:right w:val="single" w:sz="8" w:space="0" w:color="auto"/>
            </w:tcBorders>
            <w:shd w:val="clear" w:color="000000" w:fill="BFBFBF"/>
            <w:vAlign w:val="center"/>
            <w:hideMark/>
          </w:tcPr>
          <w:p w:rsidR="000E4B30" w:rsidRPr="009C1F58" w:rsidRDefault="000E4B30" w:rsidP="00F34562">
            <w:pPr>
              <w:jc w:val="center"/>
              <w:rPr>
                <w:rFonts w:ascii="Tahoma" w:hAnsi="Tahoma" w:cs="Tahoma"/>
                <w:b/>
                <w:bCs/>
                <w:color w:val="000000"/>
                <w:sz w:val="12"/>
                <w:szCs w:val="18"/>
              </w:rPr>
            </w:pPr>
            <w:r w:rsidRPr="009C1F58">
              <w:rPr>
                <w:rFonts w:ascii="Tahoma" w:hAnsi="Tahoma" w:cs="Tahoma"/>
                <w:b/>
                <w:bCs/>
                <w:color w:val="000000"/>
                <w:sz w:val="12"/>
                <w:szCs w:val="18"/>
              </w:rPr>
              <w:t>Cuenta</w:t>
            </w:r>
          </w:p>
        </w:tc>
        <w:tc>
          <w:tcPr>
            <w:tcW w:w="639" w:type="dxa"/>
            <w:tcBorders>
              <w:top w:val="single" w:sz="8" w:space="0" w:color="auto"/>
              <w:left w:val="nil"/>
              <w:bottom w:val="single" w:sz="8" w:space="0" w:color="auto"/>
              <w:right w:val="single" w:sz="8" w:space="0" w:color="auto"/>
            </w:tcBorders>
            <w:shd w:val="clear" w:color="000000" w:fill="BFBFBF"/>
            <w:vAlign w:val="center"/>
            <w:hideMark/>
          </w:tcPr>
          <w:p w:rsidR="000E4B30" w:rsidRPr="009C1F58" w:rsidRDefault="000E4B30" w:rsidP="00F34562">
            <w:pPr>
              <w:jc w:val="center"/>
              <w:rPr>
                <w:rFonts w:ascii="Tahoma" w:hAnsi="Tahoma" w:cs="Tahoma"/>
                <w:b/>
                <w:bCs/>
                <w:color w:val="000000"/>
                <w:sz w:val="12"/>
                <w:szCs w:val="18"/>
              </w:rPr>
            </w:pPr>
            <w:r w:rsidRPr="009C1F58">
              <w:rPr>
                <w:rFonts w:ascii="Tahoma" w:hAnsi="Tahoma" w:cs="Tahoma"/>
                <w:b/>
                <w:bCs/>
                <w:color w:val="000000"/>
                <w:sz w:val="12"/>
                <w:szCs w:val="18"/>
              </w:rPr>
              <w:t>Cuenta CONAC</w:t>
            </w:r>
          </w:p>
        </w:tc>
        <w:tc>
          <w:tcPr>
            <w:tcW w:w="1136" w:type="dxa"/>
            <w:tcBorders>
              <w:top w:val="single" w:sz="8" w:space="0" w:color="auto"/>
              <w:left w:val="nil"/>
              <w:bottom w:val="single" w:sz="8" w:space="0" w:color="auto"/>
              <w:right w:val="single" w:sz="8" w:space="0" w:color="auto"/>
            </w:tcBorders>
            <w:shd w:val="clear" w:color="000000" w:fill="BFBFBF"/>
            <w:vAlign w:val="center"/>
            <w:hideMark/>
          </w:tcPr>
          <w:p w:rsidR="000E4B30" w:rsidRPr="009C1F58" w:rsidRDefault="000E4B30" w:rsidP="00F34562">
            <w:pPr>
              <w:jc w:val="center"/>
              <w:rPr>
                <w:rFonts w:ascii="Tahoma" w:hAnsi="Tahoma" w:cs="Tahoma"/>
                <w:b/>
                <w:bCs/>
                <w:color w:val="000000"/>
                <w:sz w:val="12"/>
                <w:szCs w:val="18"/>
              </w:rPr>
            </w:pPr>
            <w:r w:rsidRPr="009C1F58">
              <w:rPr>
                <w:rFonts w:ascii="Tahoma" w:hAnsi="Tahoma" w:cs="Tahoma"/>
                <w:b/>
                <w:bCs/>
                <w:color w:val="000000"/>
                <w:sz w:val="12"/>
                <w:szCs w:val="18"/>
              </w:rPr>
              <w:t>Subcuenta de Registro</w:t>
            </w:r>
          </w:p>
        </w:tc>
        <w:tc>
          <w:tcPr>
            <w:tcW w:w="3720" w:type="dxa"/>
            <w:tcBorders>
              <w:top w:val="single" w:sz="8" w:space="0" w:color="auto"/>
              <w:left w:val="nil"/>
              <w:bottom w:val="single" w:sz="8" w:space="0" w:color="auto"/>
              <w:right w:val="single" w:sz="8" w:space="0" w:color="auto"/>
            </w:tcBorders>
            <w:shd w:val="clear" w:color="000000" w:fill="BFBFBF"/>
            <w:vAlign w:val="center"/>
            <w:hideMark/>
          </w:tcPr>
          <w:p w:rsidR="000E4B30" w:rsidRPr="009C1F58" w:rsidRDefault="000E4B30" w:rsidP="00F34562">
            <w:pPr>
              <w:jc w:val="center"/>
              <w:rPr>
                <w:rFonts w:ascii="Tahoma" w:hAnsi="Tahoma" w:cs="Tahoma"/>
                <w:b/>
                <w:bCs/>
                <w:color w:val="000000"/>
                <w:sz w:val="12"/>
                <w:szCs w:val="18"/>
              </w:rPr>
            </w:pPr>
            <w:r w:rsidRPr="009C1F58">
              <w:rPr>
                <w:rFonts w:ascii="Tahoma" w:hAnsi="Tahoma" w:cs="Tahoma"/>
                <w:b/>
                <w:bCs/>
                <w:color w:val="000000"/>
                <w:sz w:val="12"/>
                <w:szCs w:val="18"/>
              </w:rPr>
              <w:t>Concepto</w:t>
            </w:r>
          </w:p>
        </w:tc>
        <w:tc>
          <w:tcPr>
            <w:tcW w:w="850" w:type="dxa"/>
            <w:tcBorders>
              <w:top w:val="single" w:sz="8" w:space="0" w:color="auto"/>
              <w:left w:val="nil"/>
              <w:bottom w:val="nil"/>
              <w:right w:val="single" w:sz="8" w:space="0" w:color="auto"/>
            </w:tcBorders>
            <w:shd w:val="clear" w:color="000000" w:fill="BFBFBF"/>
            <w:vAlign w:val="center"/>
            <w:hideMark/>
          </w:tcPr>
          <w:p w:rsidR="000E4B30" w:rsidRPr="009C1F58" w:rsidRDefault="000E4B30" w:rsidP="00F34562">
            <w:pPr>
              <w:jc w:val="center"/>
              <w:rPr>
                <w:rFonts w:ascii="Tahoma" w:hAnsi="Tahoma" w:cs="Tahoma"/>
                <w:b/>
                <w:bCs/>
                <w:color w:val="000000"/>
                <w:sz w:val="12"/>
                <w:szCs w:val="18"/>
              </w:rPr>
            </w:pPr>
            <w:r w:rsidRPr="009C1F58">
              <w:rPr>
                <w:rFonts w:ascii="Tahoma" w:hAnsi="Tahoma" w:cs="Tahoma"/>
                <w:b/>
                <w:bCs/>
                <w:color w:val="000000"/>
                <w:sz w:val="12"/>
                <w:szCs w:val="18"/>
              </w:rPr>
              <w:t xml:space="preserve"> DEPRECIACIONES % </w:t>
            </w:r>
          </w:p>
        </w:tc>
      </w:tr>
      <w:tr w:rsidR="000E4B30" w:rsidRPr="009C1F58" w:rsidTr="00F34562">
        <w:trPr>
          <w:trHeight w:val="525"/>
          <w:jc w:val="center"/>
        </w:trPr>
        <w:tc>
          <w:tcPr>
            <w:tcW w:w="54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1200</w:t>
            </w:r>
          </w:p>
        </w:tc>
        <w:tc>
          <w:tcPr>
            <w:tcW w:w="538" w:type="dxa"/>
            <w:vMerge w:val="restart"/>
            <w:tcBorders>
              <w:top w:val="nil"/>
              <w:left w:val="nil"/>
              <w:bottom w:val="single" w:sz="8" w:space="0" w:color="000000"/>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1260</w:t>
            </w:r>
          </w:p>
        </w:tc>
        <w:tc>
          <w:tcPr>
            <w:tcW w:w="640"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1261</w:t>
            </w:r>
          </w:p>
        </w:tc>
        <w:tc>
          <w:tcPr>
            <w:tcW w:w="639"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1261-3</w:t>
            </w: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1261-3-61207</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Edificios no Habitacionales.</w:t>
            </w:r>
          </w:p>
        </w:tc>
        <w:tc>
          <w:tcPr>
            <w:tcW w:w="850" w:type="dxa"/>
            <w:tcBorders>
              <w:top w:val="single" w:sz="8" w:space="0" w:color="auto"/>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5%</w:t>
            </w:r>
          </w:p>
        </w:tc>
      </w:tr>
      <w:tr w:rsidR="000E4B30" w:rsidRPr="009C1F58" w:rsidTr="00F34562">
        <w:trPr>
          <w:trHeight w:val="31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val="restart"/>
            <w:tcBorders>
              <w:top w:val="nil"/>
              <w:left w:val="single" w:sz="8" w:space="0" w:color="auto"/>
              <w:bottom w:val="single" w:sz="8" w:space="0" w:color="000000"/>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1263-1</w:t>
            </w: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1263-1-51101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Mobiliario</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10%</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1263-1-51201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Muebles, Excepto de Oficina y Estantería</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10%</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1263-1-51501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Equipo de Cómputo y Tecnologías de la Información</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30%</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1263-1-51901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Otros Mobiliarios y Equipo de Administración</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10%</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1263-2</w:t>
            </w: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1263-2-52101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Equipos y Aparatos Audiovisuales</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10%</w:t>
            </w:r>
          </w:p>
        </w:tc>
      </w:tr>
      <w:tr w:rsidR="000E4B30" w:rsidRPr="009C1F58" w:rsidTr="00F34562">
        <w:trPr>
          <w:trHeight w:val="31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1263-2-52201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Aparatos Deportivos</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10%</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1263-2-52301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Cámaras Fotográficas y de Video</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10%</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1263-2-52901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Otro Mobiliario y Equipo Educacional y Recreativo</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10%</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val="restart"/>
            <w:tcBorders>
              <w:top w:val="nil"/>
              <w:left w:val="single" w:sz="8" w:space="0" w:color="auto"/>
              <w:bottom w:val="single" w:sz="8" w:space="0" w:color="000000"/>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1263-3</w:t>
            </w: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1263-3-53101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Equipo Médico y de Laboratorio</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35%</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1263-3-53201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Instrumental Médico y de Laboratorio</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35%</w:t>
            </w:r>
          </w:p>
        </w:tc>
      </w:tr>
      <w:tr w:rsidR="000E4B30" w:rsidRPr="009C1F58" w:rsidTr="00F34562">
        <w:trPr>
          <w:trHeight w:val="780"/>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tcBorders>
              <w:top w:val="nil"/>
              <w:left w:val="nil"/>
              <w:bottom w:val="single" w:sz="8" w:space="0" w:color="auto"/>
              <w:right w:val="single" w:sz="8" w:space="0" w:color="auto"/>
            </w:tcBorders>
            <w:shd w:val="clear" w:color="auto" w:fill="auto"/>
            <w:vAlign w:val="bottom"/>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1263-4</w:t>
            </w: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1263-4-54103</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Vehículos y equipo terrestres, destinados a servicios públicos y la operación de programas públicos.</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25%</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val="restart"/>
            <w:tcBorders>
              <w:top w:val="nil"/>
              <w:left w:val="single" w:sz="8" w:space="0" w:color="auto"/>
              <w:bottom w:val="single" w:sz="8" w:space="0" w:color="000000"/>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1263-6</w:t>
            </w: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1263-6-56401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Sistemas de Aire Acondicionado, Calefacción y de Refrigeración</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35%</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1263-6-56501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Equipo de Comunicación y Telecomunicación</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35%</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1263-6-56701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Herramientas y máquinas herramienta.</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35%</w:t>
            </w:r>
          </w:p>
        </w:tc>
      </w:tr>
      <w:tr w:rsidR="000E4B30" w:rsidRPr="009C1F58" w:rsidTr="00F34562">
        <w:trPr>
          <w:trHeight w:val="31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1263-6-56902</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Depreciación Acumulada de Otros bienes muebles.</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35%</w:t>
            </w:r>
          </w:p>
        </w:tc>
      </w:tr>
      <w:tr w:rsidR="000E4B30" w:rsidRPr="009C1F58" w:rsidTr="00F34562">
        <w:trPr>
          <w:trHeight w:val="31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val="restart"/>
            <w:tcBorders>
              <w:top w:val="nil"/>
              <w:left w:val="single" w:sz="8" w:space="0" w:color="auto"/>
              <w:bottom w:val="single" w:sz="8" w:space="0" w:color="000000"/>
              <w:right w:val="single" w:sz="8" w:space="0" w:color="auto"/>
            </w:tcBorders>
            <w:shd w:val="clear" w:color="auto" w:fill="auto"/>
            <w:vAlign w:val="center"/>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1265</w:t>
            </w:r>
          </w:p>
        </w:tc>
        <w:tc>
          <w:tcPr>
            <w:tcW w:w="639" w:type="dxa"/>
            <w:vMerge w:val="restart"/>
            <w:tcBorders>
              <w:top w:val="nil"/>
              <w:left w:val="single" w:sz="8" w:space="0" w:color="auto"/>
              <w:bottom w:val="single" w:sz="8" w:space="0" w:color="000000"/>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1265-1</w:t>
            </w: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1265-1-59101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Amortización Acumulada de Software.</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15%</w:t>
            </w:r>
          </w:p>
        </w:tc>
      </w:tr>
      <w:tr w:rsidR="000E4B30" w:rsidRPr="009C1F58" w:rsidTr="00F34562">
        <w:trPr>
          <w:trHeight w:val="525"/>
          <w:jc w:val="center"/>
        </w:trPr>
        <w:tc>
          <w:tcPr>
            <w:tcW w:w="547"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538" w:type="dxa"/>
            <w:vMerge/>
            <w:tcBorders>
              <w:top w:val="nil"/>
              <w:left w:val="nil"/>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640"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Tahoma" w:hAnsi="Tahoma" w:cs="Tahoma"/>
                <w:color w:val="000000"/>
                <w:sz w:val="12"/>
                <w:szCs w:val="18"/>
              </w:rPr>
            </w:pPr>
          </w:p>
        </w:tc>
        <w:tc>
          <w:tcPr>
            <w:tcW w:w="639" w:type="dxa"/>
            <w:vMerge/>
            <w:tcBorders>
              <w:top w:val="nil"/>
              <w:left w:val="single" w:sz="8" w:space="0" w:color="auto"/>
              <w:bottom w:val="single" w:sz="8" w:space="0" w:color="000000"/>
              <w:right w:val="single" w:sz="8" w:space="0" w:color="auto"/>
            </w:tcBorders>
            <w:vAlign w:val="center"/>
            <w:hideMark/>
          </w:tcPr>
          <w:p w:rsidR="000E4B30" w:rsidRPr="009C1F58" w:rsidRDefault="000E4B30" w:rsidP="00F34562">
            <w:pPr>
              <w:rPr>
                <w:rFonts w:ascii="Microsoft Sans Serif" w:hAnsi="Microsoft Sans Serif" w:cs="Microsoft Sans Serif"/>
                <w:color w:val="000000"/>
                <w:sz w:val="12"/>
                <w:szCs w:val="18"/>
              </w:rPr>
            </w:pPr>
          </w:p>
        </w:tc>
        <w:tc>
          <w:tcPr>
            <w:tcW w:w="1136" w:type="dxa"/>
            <w:tcBorders>
              <w:top w:val="nil"/>
              <w:left w:val="nil"/>
              <w:bottom w:val="single" w:sz="8" w:space="0" w:color="auto"/>
              <w:right w:val="single" w:sz="8" w:space="0" w:color="auto"/>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1265-1-59701</w:t>
            </w:r>
          </w:p>
        </w:tc>
        <w:tc>
          <w:tcPr>
            <w:tcW w:w="3720" w:type="dxa"/>
            <w:tcBorders>
              <w:top w:val="nil"/>
              <w:left w:val="nil"/>
              <w:bottom w:val="single" w:sz="8" w:space="0" w:color="auto"/>
              <w:right w:val="nil"/>
            </w:tcBorders>
            <w:shd w:val="clear" w:color="auto" w:fill="auto"/>
            <w:vAlign w:val="center"/>
            <w:hideMark/>
          </w:tcPr>
          <w:p w:rsidR="000E4B30" w:rsidRPr="009C1F58" w:rsidRDefault="000E4B30" w:rsidP="00F34562">
            <w:pPr>
              <w:jc w:val="center"/>
              <w:rPr>
                <w:rFonts w:ascii="Microsoft Sans Serif" w:hAnsi="Microsoft Sans Serif" w:cs="Microsoft Sans Serif"/>
                <w:color w:val="000000"/>
                <w:sz w:val="12"/>
                <w:szCs w:val="18"/>
              </w:rPr>
            </w:pPr>
            <w:r w:rsidRPr="009C1F58">
              <w:rPr>
                <w:rFonts w:ascii="Microsoft Sans Serif" w:hAnsi="Microsoft Sans Serif" w:cs="Microsoft Sans Serif"/>
                <w:color w:val="000000"/>
                <w:sz w:val="12"/>
                <w:szCs w:val="18"/>
              </w:rPr>
              <w:t>Amortización Acumulada de Licencias informáticas e intelectuales.</w:t>
            </w:r>
          </w:p>
        </w:tc>
        <w:tc>
          <w:tcPr>
            <w:tcW w:w="850" w:type="dxa"/>
            <w:tcBorders>
              <w:top w:val="nil"/>
              <w:left w:val="single" w:sz="8" w:space="0" w:color="auto"/>
              <w:bottom w:val="single" w:sz="4" w:space="0" w:color="auto"/>
              <w:right w:val="single" w:sz="8" w:space="0" w:color="auto"/>
            </w:tcBorders>
            <w:shd w:val="clear" w:color="auto" w:fill="auto"/>
            <w:hideMark/>
          </w:tcPr>
          <w:p w:rsidR="000E4B30" w:rsidRPr="009C1F58" w:rsidRDefault="000E4B30" w:rsidP="00F34562">
            <w:pPr>
              <w:jc w:val="center"/>
              <w:rPr>
                <w:rFonts w:ascii="Tahoma" w:hAnsi="Tahoma" w:cs="Tahoma"/>
                <w:color w:val="000000"/>
                <w:sz w:val="12"/>
                <w:szCs w:val="18"/>
              </w:rPr>
            </w:pPr>
            <w:r w:rsidRPr="009C1F58">
              <w:rPr>
                <w:rFonts w:ascii="Tahoma" w:hAnsi="Tahoma" w:cs="Tahoma"/>
                <w:color w:val="000000"/>
                <w:sz w:val="12"/>
                <w:szCs w:val="18"/>
              </w:rPr>
              <w:t>15%</w:t>
            </w:r>
          </w:p>
        </w:tc>
      </w:tr>
    </w:tbl>
    <w:p w:rsidR="000E4B30" w:rsidRDefault="000E4B30" w:rsidP="000E4B30">
      <w:pPr>
        <w:rPr>
          <w:b/>
          <w:i/>
          <w:color w:val="0070C0"/>
          <w:sz w:val="22"/>
          <w:szCs w:val="23"/>
        </w:rPr>
      </w:pPr>
    </w:p>
    <w:p w:rsidR="000E4B30" w:rsidRDefault="000E4B30" w:rsidP="000E4B30">
      <w:pPr>
        <w:rPr>
          <w:b/>
          <w:i/>
          <w:color w:val="0070C0"/>
          <w:sz w:val="22"/>
          <w:szCs w:val="23"/>
        </w:rPr>
      </w:pPr>
    </w:p>
    <w:p w:rsidR="000E4B30" w:rsidRDefault="000E4B30" w:rsidP="000E4B30">
      <w:pPr>
        <w:rPr>
          <w:b/>
          <w:i/>
          <w:color w:val="0070C0"/>
          <w:sz w:val="22"/>
          <w:szCs w:val="23"/>
        </w:rPr>
      </w:pPr>
    </w:p>
    <w:p w:rsidR="000E4B30" w:rsidRPr="00A23E16" w:rsidRDefault="000E4B30" w:rsidP="000E4B30">
      <w:pPr>
        <w:jc w:val="center"/>
        <w:rPr>
          <w:b/>
          <w:color w:val="2E74B5" w:themeColor="accent1" w:themeShade="BF"/>
          <w:sz w:val="22"/>
          <w:szCs w:val="22"/>
          <w:u w:val="single"/>
        </w:rPr>
      </w:pPr>
      <w:r w:rsidRPr="00A23E16">
        <w:rPr>
          <w:b/>
          <w:color w:val="2E74B5" w:themeColor="accent1" w:themeShade="BF"/>
          <w:sz w:val="22"/>
          <w:szCs w:val="22"/>
          <w:u w:val="single"/>
        </w:rPr>
        <w:t>PASIVO</w:t>
      </w:r>
    </w:p>
    <w:p w:rsidR="000E4B30" w:rsidRDefault="000E4B30" w:rsidP="000E4B30">
      <w:pPr>
        <w:jc w:val="center"/>
        <w:rPr>
          <w:b/>
          <w:i/>
          <w:color w:val="2E74B5" w:themeColor="accent1" w:themeShade="BF"/>
          <w:sz w:val="22"/>
          <w:szCs w:val="22"/>
        </w:rPr>
      </w:pPr>
    </w:p>
    <w:p w:rsidR="000E4B30" w:rsidRPr="00A23E16" w:rsidRDefault="000E4B30" w:rsidP="000E4B30">
      <w:pPr>
        <w:jc w:val="center"/>
        <w:rPr>
          <w:b/>
          <w:i/>
          <w:color w:val="2E74B5" w:themeColor="accent1" w:themeShade="BF"/>
          <w:sz w:val="22"/>
          <w:szCs w:val="22"/>
        </w:rPr>
      </w:pPr>
    </w:p>
    <w:p w:rsidR="000E4B30" w:rsidRDefault="000E4B30" w:rsidP="000E4B30">
      <w:pPr>
        <w:jc w:val="center"/>
        <w:rPr>
          <w:b/>
          <w:i/>
          <w:color w:val="2E74B5" w:themeColor="accent1" w:themeShade="BF"/>
          <w:sz w:val="22"/>
          <w:szCs w:val="22"/>
        </w:rPr>
      </w:pPr>
    </w:p>
    <w:p w:rsidR="000E4B30" w:rsidRPr="00A23E16" w:rsidRDefault="000E4B30" w:rsidP="000E4B30">
      <w:pPr>
        <w:rPr>
          <w:b/>
          <w:color w:val="2E74B5" w:themeColor="accent1" w:themeShade="BF"/>
          <w:sz w:val="22"/>
          <w:szCs w:val="22"/>
        </w:rPr>
      </w:pPr>
      <w:r w:rsidRPr="00A23E16">
        <w:rPr>
          <w:b/>
          <w:color w:val="2E74B5" w:themeColor="accent1" w:themeShade="BF"/>
          <w:sz w:val="22"/>
          <w:szCs w:val="22"/>
        </w:rPr>
        <w:t>PASIVO CIRCULANTE $</w:t>
      </w:r>
      <w:r w:rsidRPr="00A23E16">
        <w:rPr>
          <w:color w:val="2E74B5" w:themeColor="accent1" w:themeShade="BF"/>
        </w:rPr>
        <w:t xml:space="preserve"> </w:t>
      </w:r>
      <w:r w:rsidRPr="00EA7C30">
        <w:rPr>
          <w:b/>
          <w:color w:val="2E74B5" w:themeColor="accent1" w:themeShade="BF"/>
          <w:sz w:val="22"/>
          <w:szCs w:val="22"/>
        </w:rPr>
        <w:t>17</w:t>
      </w:r>
      <w:r>
        <w:rPr>
          <w:b/>
          <w:color w:val="2E74B5" w:themeColor="accent1" w:themeShade="BF"/>
          <w:sz w:val="22"/>
          <w:szCs w:val="22"/>
        </w:rPr>
        <w:t>’687,609</w:t>
      </w:r>
      <w:r w:rsidRPr="00EA7C30">
        <w:rPr>
          <w:b/>
          <w:color w:val="2E74B5" w:themeColor="accent1" w:themeShade="BF"/>
          <w:sz w:val="22"/>
          <w:szCs w:val="22"/>
        </w:rPr>
        <w:t>.</w:t>
      </w:r>
      <w:r>
        <w:rPr>
          <w:b/>
          <w:color w:val="2E74B5" w:themeColor="accent1" w:themeShade="BF"/>
          <w:sz w:val="22"/>
          <w:szCs w:val="22"/>
        </w:rPr>
        <w:t>4</w:t>
      </w:r>
      <w:r w:rsidRPr="00EA7C30">
        <w:rPr>
          <w:b/>
          <w:color w:val="2E74B5" w:themeColor="accent1" w:themeShade="BF"/>
          <w:sz w:val="22"/>
          <w:szCs w:val="22"/>
        </w:rPr>
        <w:t>5</w:t>
      </w:r>
    </w:p>
    <w:p w:rsidR="000E4B30" w:rsidRDefault="000E4B30" w:rsidP="000E4B30">
      <w:pPr>
        <w:rPr>
          <w:b/>
          <w:color w:val="0070C0"/>
          <w:sz w:val="22"/>
          <w:szCs w:val="22"/>
        </w:rPr>
      </w:pPr>
    </w:p>
    <w:p w:rsidR="000E4B30" w:rsidRPr="002E6890" w:rsidRDefault="000E4B30" w:rsidP="000E4B30">
      <w:pPr>
        <w:jc w:val="both"/>
        <w:rPr>
          <w:sz w:val="22"/>
          <w:szCs w:val="22"/>
        </w:rPr>
      </w:pPr>
      <w:r w:rsidRPr="002E6890">
        <w:rPr>
          <w:sz w:val="22"/>
          <w:szCs w:val="22"/>
        </w:rPr>
        <w:t>El pasivo circulante está integrado por las cuentas por pagar a corto plazo que a continuación se detallan:</w:t>
      </w:r>
    </w:p>
    <w:p w:rsidR="000E4B30" w:rsidRPr="00FF3DE2" w:rsidRDefault="000E4B30" w:rsidP="000E4B30">
      <w:pPr>
        <w:rPr>
          <w:color w:val="0070C0"/>
          <w:sz w:val="22"/>
          <w:szCs w:val="22"/>
        </w:rPr>
      </w:pPr>
    </w:p>
    <w:p w:rsidR="000E4B30" w:rsidRPr="00A23E16" w:rsidRDefault="000E4B30" w:rsidP="000E4B30">
      <w:pPr>
        <w:pStyle w:val="Prrafodelista"/>
        <w:numPr>
          <w:ilvl w:val="0"/>
          <w:numId w:val="16"/>
        </w:numPr>
        <w:spacing w:after="200"/>
        <w:jc w:val="both"/>
        <w:rPr>
          <w:b/>
          <w:color w:val="2E74B5" w:themeColor="accent1" w:themeShade="BF"/>
        </w:rPr>
      </w:pPr>
      <w:r w:rsidRPr="00A23E16">
        <w:rPr>
          <w:b/>
          <w:color w:val="2E74B5" w:themeColor="accent1" w:themeShade="BF"/>
        </w:rPr>
        <w:t xml:space="preserve">Cuentas por pagar a Corto Plazo $ </w:t>
      </w:r>
      <w:r w:rsidRPr="00EA7C30">
        <w:rPr>
          <w:b/>
          <w:color w:val="2E74B5" w:themeColor="accent1" w:themeShade="BF"/>
        </w:rPr>
        <w:t>17</w:t>
      </w:r>
      <w:r>
        <w:rPr>
          <w:b/>
          <w:color w:val="2E74B5" w:themeColor="accent1" w:themeShade="BF"/>
        </w:rPr>
        <w:t>’687,609</w:t>
      </w:r>
      <w:r w:rsidRPr="00EA7C30">
        <w:rPr>
          <w:b/>
          <w:color w:val="2E74B5" w:themeColor="accent1" w:themeShade="BF"/>
        </w:rPr>
        <w:t>.</w:t>
      </w:r>
      <w:r>
        <w:rPr>
          <w:b/>
          <w:color w:val="2E74B5" w:themeColor="accent1" w:themeShade="BF"/>
        </w:rPr>
        <w:t>4</w:t>
      </w:r>
      <w:r w:rsidRPr="00EA7C30">
        <w:rPr>
          <w:b/>
          <w:color w:val="2E74B5" w:themeColor="accent1" w:themeShade="BF"/>
        </w:rPr>
        <w:t>5</w:t>
      </w:r>
    </w:p>
    <w:p w:rsidR="000E4B30" w:rsidRDefault="000E4B30" w:rsidP="000E4B30">
      <w:pPr>
        <w:rPr>
          <w:sz w:val="22"/>
          <w:szCs w:val="22"/>
        </w:rPr>
      </w:pPr>
      <w:r w:rsidRPr="001D07D6">
        <w:rPr>
          <w:sz w:val="22"/>
          <w:szCs w:val="22"/>
        </w:rPr>
        <w:t xml:space="preserve">Los importes </w:t>
      </w:r>
      <w:r>
        <w:rPr>
          <w:sz w:val="22"/>
          <w:szCs w:val="22"/>
        </w:rPr>
        <w:t>correspondientes a las cuentas por pagar a corto plazo son las retenciones y aportaciones que se realizan para su respectivo pago en el mes posterior.</w:t>
      </w:r>
    </w:p>
    <w:p w:rsidR="000E4B30" w:rsidRPr="001D07D6" w:rsidRDefault="000E4B30" w:rsidP="000E4B30">
      <w:pPr>
        <w:rPr>
          <w:sz w:val="22"/>
          <w:szCs w:val="22"/>
        </w:rPr>
      </w:pPr>
    </w:p>
    <w:p w:rsidR="000E4B30" w:rsidRPr="00A23E16" w:rsidRDefault="000E4B30" w:rsidP="000E4B30">
      <w:pPr>
        <w:pStyle w:val="Prrafodelista"/>
        <w:numPr>
          <w:ilvl w:val="0"/>
          <w:numId w:val="14"/>
        </w:numPr>
        <w:spacing w:after="200" w:line="276" w:lineRule="auto"/>
        <w:rPr>
          <w:color w:val="2E74B5" w:themeColor="accent1" w:themeShade="BF"/>
        </w:rPr>
      </w:pPr>
      <w:r w:rsidRPr="00A23E16">
        <w:rPr>
          <w:color w:val="2E74B5" w:themeColor="accent1" w:themeShade="BF"/>
        </w:rPr>
        <w:t>Servicios Personales por pagar a Corto Plazo $</w:t>
      </w:r>
      <w:r>
        <w:rPr>
          <w:color w:val="2E74B5" w:themeColor="accent1" w:themeShade="BF"/>
        </w:rPr>
        <w:t xml:space="preserve"> </w:t>
      </w:r>
      <w:r w:rsidRPr="00EA7C30">
        <w:rPr>
          <w:color w:val="2E74B5" w:themeColor="accent1" w:themeShade="BF"/>
        </w:rPr>
        <w:t>1</w:t>
      </w:r>
      <w:r>
        <w:rPr>
          <w:color w:val="2E74B5" w:themeColor="accent1" w:themeShade="BF"/>
        </w:rPr>
        <w:t>’</w:t>
      </w:r>
      <w:r w:rsidRPr="00EA7C30">
        <w:rPr>
          <w:color w:val="2E74B5" w:themeColor="accent1" w:themeShade="BF"/>
        </w:rPr>
        <w:t>112</w:t>
      </w:r>
      <w:r>
        <w:rPr>
          <w:color w:val="2E74B5" w:themeColor="accent1" w:themeShade="BF"/>
        </w:rPr>
        <w:t>,</w:t>
      </w:r>
      <w:r w:rsidRPr="00EA7C30">
        <w:rPr>
          <w:color w:val="2E74B5" w:themeColor="accent1" w:themeShade="BF"/>
        </w:rPr>
        <w:t>631.91</w:t>
      </w:r>
    </w:p>
    <w:p w:rsidR="000E4B30" w:rsidRDefault="000E4B30" w:rsidP="000E4B30">
      <w:pPr>
        <w:pStyle w:val="Prrafodelista"/>
        <w:ind w:left="1428"/>
        <w:rPr>
          <w:color w:val="2E74B5" w:themeColor="accent1" w:themeShade="BF"/>
        </w:rPr>
      </w:pPr>
    </w:p>
    <w:p w:rsidR="000E4B30" w:rsidRDefault="000E4B30" w:rsidP="000E4B30">
      <w:pPr>
        <w:pStyle w:val="Prrafodelista"/>
        <w:ind w:left="1428"/>
        <w:rPr>
          <w:color w:val="2E74B5" w:themeColor="accent1" w:themeShade="BF"/>
        </w:rPr>
      </w:pPr>
    </w:p>
    <w:p w:rsidR="000E4B30" w:rsidRDefault="000E4B30" w:rsidP="000E4B30">
      <w:pPr>
        <w:pStyle w:val="Prrafodelista"/>
        <w:numPr>
          <w:ilvl w:val="0"/>
          <w:numId w:val="14"/>
        </w:numPr>
        <w:spacing w:after="200" w:line="276" w:lineRule="auto"/>
        <w:rPr>
          <w:color w:val="2E74B5" w:themeColor="accent1" w:themeShade="BF"/>
        </w:rPr>
      </w:pPr>
      <w:r w:rsidRPr="00A23E16">
        <w:rPr>
          <w:color w:val="2E74B5" w:themeColor="accent1" w:themeShade="BF"/>
        </w:rPr>
        <w:t>Proveedores por pagar a Corto Plazo $</w:t>
      </w:r>
      <w:r>
        <w:rPr>
          <w:color w:val="2E74B5" w:themeColor="accent1" w:themeShade="BF"/>
        </w:rPr>
        <w:t xml:space="preserve"> </w:t>
      </w:r>
      <w:r w:rsidRPr="00EA7C30">
        <w:rPr>
          <w:color w:val="2E74B5" w:themeColor="accent1" w:themeShade="BF"/>
        </w:rPr>
        <w:t>125</w:t>
      </w:r>
      <w:r>
        <w:rPr>
          <w:color w:val="2E74B5" w:themeColor="accent1" w:themeShade="BF"/>
        </w:rPr>
        <w:t>,</w:t>
      </w:r>
      <w:r w:rsidRPr="00EA7C30">
        <w:rPr>
          <w:color w:val="2E74B5" w:themeColor="accent1" w:themeShade="BF"/>
        </w:rPr>
        <w:t>279</w:t>
      </w:r>
      <w:r>
        <w:rPr>
          <w:color w:val="2E74B5" w:themeColor="accent1" w:themeShade="BF"/>
        </w:rPr>
        <w:t>.00</w:t>
      </w:r>
    </w:p>
    <w:p w:rsidR="000E4B30" w:rsidRDefault="000E4B30" w:rsidP="000E4B30">
      <w:pPr>
        <w:pStyle w:val="Prrafodelista"/>
        <w:numPr>
          <w:ilvl w:val="1"/>
          <w:numId w:val="14"/>
        </w:numPr>
        <w:spacing w:after="200" w:line="276" w:lineRule="auto"/>
        <w:rPr>
          <w:color w:val="2E74B5" w:themeColor="accent1" w:themeShade="BF"/>
        </w:rPr>
      </w:pPr>
      <w:r>
        <w:rPr>
          <w:color w:val="2E74B5" w:themeColor="accent1" w:themeShade="BF"/>
        </w:rPr>
        <w:t>Deudas por adquisición de bienes y contratación de servicios por pagar a CP $54,520.00</w:t>
      </w:r>
    </w:p>
    <w:p w:rsidR="000E4B30" w:rsidRDefault="000E4B30" w:rsidP="000E4B30">
      <w:pPr>
        <w:ind w:left="708"/>
        <w:jc w:val="both"/>
        <w:rPr>
          <w:sz w:val="22"/>
          <w:szCs w:val="22"/>
        </w:rPr>
      </w:pPr>
      <w:r w:rsidRPr="003820AD">
        <w:rPr>
          <w:sz w:val="22"/>
          <w:szCs w:val="22"/>
        </w:rPr>
        <w:lastRenderedPageBreak/>
        <w:t xml:space="preserve">Esta cuenta se integra de los proveedores que nos han brindado un servicio que aún no concluye, o que se han adquirido artículos y aun no entregan la totalidad de los mismos, </w:t>
      </w:r>
      <w:r w:rsidRPr="00721A43">
        <w:rPr>
          <w:sz w:val="22"/>
          <w:szCs w:val="22"/>
        </w:rPr>
        <w:t>entre otros</w:t>
      </w:r>
      <w:r>
        <w:rPr>
          <w:sz w:val="22"/>
          <w:szCs w:val="22"/>
        </w:rPr>
        <w:t>,</w:t>
      </w:r>
      <w:r w:rsidRPr="002F7AF5">
        <w:rPr>
          <w:sz w:val="22"/>
          <w:szCs w:val="22"/>
        </w:rPr>
        <w:t xml:space="preserve"> </w:t>
      </w:r>
      <w:r>
        <w:rPr>
          <w:sz w:val="22"/>
          <w:szCs w:val="22"/>
        </w:rPr>
        <w:t>teniendo al 31 de diciembre saldo de $54,520.00.</w:t>
      </w:r>
    </w:p>
    <w:p w:rsidR="000E4B30" w:rsidRDefault="000E4B30" w:rsidP="000E4B30">
      <w:pPr>
        <w:ind w:left="708"/>
        <w:jc w:val="both"/>
        <w:rPr>
          <w:sz w:val="22"/>
          <w:szCs w:val="22"/>
        </w:rPr>
      </w:pPr>
    </w:p>
    <w:tbl>
      <w:tblPr>
        <w:tblW w:w="6300" w:type="dxa"/>
        <w:jc w:val="center"/>
        <w:tblCellMar>
          <w:left w:w="70" w:type="dxa"/>
          <w:right w:w="70" w:type="dxa"/>
        </w:tblCellMar>
        <w:tblLook w:val="04A0" w:firstRow="1" w:lastRow="0" w:firstColumn="1" w:lastColumn="0" w:noHBand="0" w:noVBand="1"/>
      </w:tblPr>
      <w:tblGrid>
        <w:gridCol w:w="4362"/>
        <w:gridCol w:w="1938"/>
      </w:tblGrid>
      <w:tr w:rsidR="000E4B30" w:rsidRPr="00C04B83" w:rsidTr="00F34562">
        <w:trPr>
          <w:trHeight w:val="210"/>
          <w:jc w:val="center"/>
        </w:trPr>
        <w:tc>
          <w:tcPr>
            <w:tcW w:w="6300"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0E4B30" w:rsidRPr="00C04B83" w:rsidRDefault="000E4B30" w:rsidP="00F34562">
            <w:pPr>
              <w:jc w:val="center"/>
              <w:rPr>
                <w:rFonts w:ascii="Cambria" w:hAnsi="Cambria" w:cs="Tahoma"/>
                <w:b/>
                <w:bCs/>
                <w:color w:val="000000"/>
                <w:sz w:val="23"/>
                <w:szCs w:val="23"/>
              </w:rPr>
            </w:pPr>
            <w:r w:rsidRPr="00C04B83">
              <w:rPr>
                <w:rFonts w:ascii="Cambria" w:hAnsi="Cambria" w:cs="Tahoma"/>
                <w:b/>
                <w:bCs/>
                <w:color w:val="000000"/>
                <w:sz w:val="23"/>
                <w:szCs w:val="23"/>
              </w:rPr>
              <w:t xml:space="preserve">PROVEEDORES </w:t>
            </w:r>
          </w:p>
        </w:tc>
      </w:tr>
      <w:tr w:rsidR="000E4B30" w:rsidRPr="00C04B83" w:rsidTr="00F34562">
        <w:trPr>
          <w:trHeight w:val="210"/>
          <w:jc w:val="center"/>
        </w:trPr>
        <w:tc>
          <w:tcPr>
            <w:tcW w:w="4362"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C04B83" w:rsidRDefault="000E4B30" w:rsidP="00F34562">
            <w:pPr>
              <w:rPr>
                <w:rFonts w:ascii="Cambria" w:hAnsi="Cambria" w:cs="Tahoma"/>
                <w:color w:val="000000"/>
                <w:sz w:val="16"/>
                <w:szCs w:val="16"/>
              </w:rPr>
            </w:pPr>
            <w:r>
              <w:rPr>
                <w:rFonts w:ascii="Cambria" w:hAnsi="Cambria" w:cs="Tahoma"/>
                <w:color w:val="000000"/>
                <w:sz w:val="16"/>
                <w:szCs w:val="16"/>
              </w:rPr>
              <w:t>JOSÉ MANUEL NARANJO RUIZ</w:t>
            </w:r>
          </w:p>
        </w:tc>
        <w:tc>
          <w:tcPr>
            <w:tcW w:w="1938" w:type="dxa"/>
            <w:tcBorders>
              <w:top w:val="nil"/>
              <w:left w:val="nil"/>
              <w:bottom w:val="single" w:sz="8" w:space="0" w:color="auto"/>
              <w:right w:val="single" w:sz="8" w:space="0" w:color="auto"/>
            </w:tcBorders>
            <w:shd w:val="clear" w:color="000000" w:fill="FFFFFF"/>
            <w:noWrap/>
            <w:vAlign w:val="center"/>
            <w:hideMark/>
          </w:tcPr>
          <w:p w:rsidR="000E4B30" w:rsidRPr="00C04B83" w:rsidRDefault="000E4B30" w:rsidP="00F34562">
            <w:pPr>
              <w:jc w:val="right"/>
              <w:rPr>
                <w:rFonts w:ascii="Cambria" w:hAnsi="Cambria" w:cs="Tahoma"/>
                <w:color w:val="000000"/>
                <w:sz w:val="16"/>
                <w:szCs w:val="16"/>
              </w:rPr>
            </w:pPr>
            <w:r w:rsidRPr="00C04B83">
              <w:rPr>
                <w:rFonts w:ascii="Cambria" w:hAnsi="Cambria" w:cs="Tahoma"/>
                <w:color w:val="000000"/>
                <w:sz w:val="16"/>
                <w:szCs w:val="16"/>
              </w:rPr>
              <w:t>$</w:t>
            </w:r>
            <w:r>
              <w:rPr>
                <w:rFonts w:ascii="Cambria" w:hAnsi="Cambria" w:cs="Tahoma"/>
                <w:color w:val="000000"/>
                <w:sz w:val="16"/>
                <w:szCs w:val="16"/>
              </w:rPr>
              <w:t>54,520.00</w:t>
            </w:r>
          </w:p>
        </w:tc>
      </w:tr>
      <w:tr w:rsidR="000E4B30" w:rsidRPr="00C04B83" w:rsidTr="00F34562">
        <w:trPr>
          <w:trHeight w:val="210"/>
          <w:jc w:val="center"/>
        </w:trPr>
        <w:tc>
          <w:tcPr>
            <w:tcW w:w="4362"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C04B83" w:rsidRDefault="000E4B30" w:rsidP="00F34562">
            <w:pPr>
              <w:jc w:val="right"/>
              <w:rPr>
                <w:rFonts w:ascii="Cambria" w:hAnsi="Cambria" w:cs="Tahoma"/>
                <w:b/>
                <w:bCs/>
                <w:color w:val="000000"/>
                <w:sz w:val="23"/>
                <w:szCs w:val="23"/>
              </w:rPr>
            </w:pPr>
            <w:r w:rsidRPr="00C04B83">
              <w:rPr>
                <w:rFonts w:ascii="Cambria" w:hAnsi="Cambria" w:cs="Tahoma"/>
                <w:b/>
                <w:bCs/>
                <w:color w:val="000000"/>
                <w:sz w:val="23"/>
                <w:szCs w:val="23"/>
              </w:rPr>
              <w:t xml:space="preserve">TOTAL </w:t>
            </w:r>
          </w:p>
        </w:tc>
        <w:tc>
          <w:tcPr>
            <w:tcW w:w="1938" w:type="dxa"/>
            <w:tcBorders>
              <w:top w:val="nil"/>
              <w:left w:val="nil"/>
              <w:bottom w:val="single" w:sz="8" w:space="0" w:color="auto"/>
              <w:right w:val="single" w:sz="8" w:space="0" w:color="auto"/>
            </w:tcBorders>
            <w:shd w:val="clear" w:color="000000" w:fill="0070C0"/>
            <w:noWrap/>
            <w:vAlign w:val="center"/>
            <w:hideMark/>
          </w:tcPr>
          <w:p w:rsidR="000E4B30" w:rsidRPr="00C04B83" w:rsidRDefault="000E4B30" w:rsidP="00F34562">
            <w:pPr>
              <w:jc w:val="right"/>
              <w:rPr>
                <w:rFonts w:ascii="Cambria" w:hAnsi="Cambria" w:cs="Tahoma"/>
                <w:b/>
                <w:bCs/>
                <w:color w:val="000000"/>
                <w:sz w:val="23"/>
                <w:szCs w:val="23"/>
              </w:rPr>
            </w:pPr>
            <w:r w:rsidRPr="00C04B83">
              <w:rPr>
                <w:rFonts w:ascii="Cambria" w:hAnsi="Cambria" w:cs="Tahoma"/>
                <w:b/>
                <w:bCs/>
                <w:color w:val="000000"/>
                <w:sz w:val="23"/>
                <w:szCs w:val="23"/>
              </w:rPr>
              <w:t>$5</w:t>
            </w:r>
            <w:r>
              <w:rPr>
                <w:rFonts w:ascii="Cambria" w:hAnsi="Cambria" w:cs="Tahoma"/>
                <w:b/>
                <w:bCs/>
                <w:color w:val="000000"/>
                <w:sz w:val="23"/>
                <w:szCs w:val="23"/>
              </w:rPr>
              <w:t>4,520.00</w:t>
            </w:r>
          </w:p>
        </w:tc>
      </w:tr>
    </w:tbl>
    <w:p w:rsidR="000E4B30" w:rsidRDefault="000E4B30" w:rsidP="000E4B30">
      <w:pPr>
        <w:ind w:left="708"/>
        <w:jc w:val="both"/>
        <w:rPr>
          <w:sz w:val="22"/>
          <w:szCs w:val="22"/>
        </w:rPr>
      </w:pPr>
    </w:p>
    <w:p w:rsidR="000E4B30" w:rsidRDefault="000E4B30" w:rsidP="000E4B30">
      <w:pPr>
        <w:ind w:left="708"/>
        <w:jc w:val="both"/>
        <w:rPr>
          <w:sz w:val="22"/>
          <w:szCs w:val="22"/>
        </w:rPr>
      </w:pPr>
      <w:r>
        <w:rPr>
          <w:sz w:val="22"/>
          <w:szCs w:val="22"/>
        </w:rPr>
        <w:t xml:space="preserve">También se incluye la provisión del pago del impuesto sobre nóminas y similares del 3%. </w:t>
      </w:r>
    </w:p>
    <w:p w:rsidR="000E4B30" w:rsidRDefault="000E4B30" w:rsidP="000E4B30">
      <w:pPr>
        <w:ind w:left="708"/>
        <w:jc w:val="both"/>
        <w:rPr>
          <w:sz w:val="22"/>
          <w:szCs w:val="22"/>
        </w:rPr>
      </w:pPr>
    </w:p>
    <w:tbl>
      <w:tblPr>
        <w:tblW w:w="6300" w:type="dxa"/>
        <w:jc w:val="center"/>
        <w:tblCellMar>
          <w:left w:w="70" w:type="dxa"/>
          <w:right w:w="70" w:type="dxa"/>
        </w:tblCellMar>
        <w:tblLook w:val="04A0" w:firstRow="1" w:lastRow="0" w:firstColumn="1" w:lastColumn="0" w:noHBand="0" w:noVBand="1"/>
      </w:tblPr>
      <w:tblGrid>
        <w:gridCol w:w="4784"/>
        <w:gridCol w:w="1516"/>
      </w:tblGrid>
      <w:tr w:rsidR="000E4B30" w:rsidTr="00F34562">
        <w:trPr>
          <w:trHeight w:val="210"/>
          <w:jc w:val="center"/>
        </w:trPr>
        <w:tc>
          <w:tcPr>
            <w:tcW w:w="6300" w:type="dxa"/>
            <w:gridSpan w:val="2"/>
            <w:tcBorders>
              <w:top w:val="single" w:sz="8" w:space="0" w:color="auto"/>
              <w:left w:val="single" w:sz="8" w:space="0" w:color="auto"/>
              <w:bottom w:val="single" w:sz="8" w:space="0" w:color="auto"/>
              <w:right w:val="single" w:sz="8" w:space="0" w:color="000000"/>
            </w:tcBorders>
            <w:shd w:val="clear" w:color="auto" w:fill="0070C0"/>
            <w:noWrap/>
            <w:vAlign w:val="center"/>
            <w:hideMark/>
          </w:tcPr>
          <w:p w:rsidR="000E4B30" w:rsidRDefault="000E4B30" w:rsidP="00F34562">
            <w:pPr>
              <w:jc w:val="center"/>
              <w:rPr>
                <w:rFonts w:ascii="Cambria" w:hAnsi="Cambria" w:cs="Tahoma"/>
                <w:b/>
                <w:bCs/>
                <w:color w:val="000000"/>
                <w:sz w:val="23"/>
                <w:szCs w:val="23"/>
                <w:lang w:val="es-ES_tradnl" w:eastAsia="es-ES"/>
              </w:rPr>
            </w:pPr>
            <w:r>
              <w:rPr>
                <w:rFonts w:ascii="Cambria" w:hAnsi="Cambria" w:cs="Tahoma"/>
                <w:b/>
                <w:bCs/>
                <w:color w:val="000000"/>
                <w:sz w:val="23"/>
                <w:szCs w:val="23"/>
                <w:lang w:val="es-ES_tradnl" w:eastAsia="es-ES"/>
              </w:rPr>
              <w:t xml:space="preserve">PROVEEDORES </w:t>
            </w:r>
          </w:p>
        </w:tc>
      </w:tr>
      <w:tr w:rsidR="000E4B30" w:rsidTr="00F34562">
        <w:trPr>
          <w:trHeight w:val="210"/>
          <w:jc w:val="center"/>
        </w:trPr>
        <w:tc>
          <w:tcPr>
            <w:tcW w:w="4784" w:type="dxa"/>
            <w:tcBorders>
              <w:top w:val="nil"/>
              <w:left w:val="single" w:sz="8" w:space="0" w:color="auto"/>
              <w:bottom w:val="single" w:sz="8" w:space="0" w:color="auto"/>
              <w:right w:val="single" w:sz="8" w:space="0" w:color="auto"/>
            </w:tcBorders>
            <w:shd w:val="clear" w:color="auto" w:fill="FFFFFF"/>
            <w:noWrap/>
            <w:vAlign w:val="center"/>
            <w:hideMark/>
          </w:tcPr>
          <w:p w:rsidR="000E4B30" w:rsidRDefault="000E4B30" w:rsidP="00F34562">
            <w:pPr>
              <w:rPr>
                <w:rFonts w:ascii="Cambria" w:hAnsi="Cambria" w:cs="Tahoma"/>
                <w:color w:val="000000"/>
                <w:sz w:val="16"/>
                <w:szCs w:val="16"/>
                <w:lang w:val="es-ES_tradnl" w:eastAsia="es-ES"/>
              </w:rPr>
            </w:pPr>
            <w:r>
              <w:rPr>
                <w:rFonts w:ascii="Cambria" w:hAnsi="Cambria" w:cs="Tahoma"/>
                <w:color w:val="000000"/>
                <w:sz w:val="16"/>
                <w:szCs w:val="16"/>
                <w:lang w:val="es-ES_tradnl" w:eastAsia="es-ES"/>
              </w:rPr>
              <w:t>IMPUESTO SOBRE NÓMINAS Y SIMILARES</w:t>
            </w:r>
          </w:p>
        </w:tc>
        <w:tc>
          <w:tcPr>
            <w:tcW w:w="1516" w:type="dxa"/>
            <w:tcBorders>
              <w:top w:val="nil"/>
              <w:left w:val="nil"/>
              <w:bottom w:val="single" w:sz="8" w:space="0" w:color="auto"/>
              <w:right w:val="single" w:sz="8" w:space="0" w:color="auto"/>
            </w:tcBorders>
            <w:shd w:val="clear" w:color="auto" w:fill="FFFFFF"/>
            <w:noWrap/>
            <w:vAlign w:val="center"/>
            <w:hideMark/>
          </w:tcPr>
          <w:p w:rsidR="000E4B30" w:rsidRDefault="000E4B30" w:rsidP="00F34562">
            <w:pPr>
              <w:jc w:val="right"/>
              <w:rPr>
                <w:rFonts w:ascii="Cambria" w:hAnsi="Cambria" w:cs="Tahoma"/>
                <w:color w:val="000000"/>
                <w:sz w:val="16"/>
                <w:szCs w:val="16"/>
                <w:lang w:val="es-ES_tradnl" w:eastAsia="es-ES"/>
              </w:rPr>
            </w:pPr>
            <w:r>
              <w:rPr>
                <w:rFonts w:ascii="Cambria" w:hAnsi="Cambria" w:cs="Tahoma"/>
                <w:color w:val="000000"/>
                <w:sz w:val="16"/>
                <w:szCs w:val="16"/>
                <w:lang w:val="es-ES_tradnl" w:eastAsia="es-ES"/>
              </w:rPr>
              <w:t>$111,485.00</w:t>
            </w:r>
          </w:p>
        </w:tc>
      </w:tr>
      <w:tr w:rsidR="000E4B30" w:rsidTr="00F34562">
        <w:trPr>
          <w:trHeight w:val="210"/>
          <w:jc w:val="center"/>
        </w:trPr>
        <w:tc>
          <w:tcPr>
            <w:tcW w:w="4784" w:type="dxa"/>
            <w:tcBorders>
              <w:top w:val="nil"/>
              <w:left w:val="single" w:sz="8" w:space="0" w:color="auto"/>
              <w:bottom w:val="single" w:sz="8" w:space="0" w:color="auto"/>
              <w:right w:val="single" w:sz="8" w:space="0" w:color="auto"/>
            </w:tcBorders>
            <w:shd w:val="clear" w:color="auto" w:fill="FFFFFF"/>
            <w:noWrap/>
            <w:vAlign w:val="center"/>
            <w:hideMark/>
          </w:tcPr>
          <w:p w:rsidR="000E4B30" w:rsidRDefault="000E4B30" w:rsidP="00F34562">
            <w:pPr>
              <w:jc w:val="right"/>
              <w:rPr>
                <w:rFonts w:ascii="Cambria" w:hAnsi="Cambria" w:cs="Tahoma"/>
                <w:b/>
                <w:bCs/>
                <w:color w:val="000000"/>
                <w:sz w:val="23"/>
                <w:szCs w:val="23"/>
                <w:lang w:val="es-ES_tradnl" w:eastAsia="es-ES"/>
              </w:rPr>
            </w:pPr>
            <w:r>
              <w:rPr>
                <w:rFonts w:ascii="Cambria" w:hAnsi="Cambria" w:cs="Tahoma"/>
                <w:b/>
                <w:bCs/>
                <w:color w:val="000000"/>
                <w:sz w:val="23"/>
                <w:szCs w:val="23"/>
                <w:lang w:val="es-ES_tradnl" w:eastAsia="es-ES"/>
              </w:rPr>
              <w:t xml:space="preserve">TOTAL </w:t>
            </w:r>
          </w:p>
        </w:tc>
        <w:tc>
          <w:tcPr>
            <w:tcW w:w="1516" w:type="dxa"/>
            <w:tcBorders>
              <w:top w:val="nil"/>
              <w:left w:val="nil"/>
              <w:bottom w:val="single" w:sz="8" w:space="0" w:color="auto"/>
              <w:right w:val="single" w:sz="8" w:space="0" w:color="auto"/>
            </w:tcBorders>
            <w:shd w:val="clear" w:color="auto" w:fill="0070C0"/>
            <w:noWrap/>
            <w:vAlign w:val="center"/>
            <w:hideMark/>
          </w:tcPr>
          <w:p w:rsidR="000E4B30" w:rsidRDefault="000E4B30" w:rsidP="00F34562">
            <w:pPr>
              <w:jc w:val="right"/>
              <w:rPr>
                <w:rFonts w:ascii="Cambria" w:hAnsi="Cambria" w:cs="Tahoma"/>
                <w:b/>
                <w:bCs/>
                <w:color w:val="000000"/>
                <w:sz w:val="23"/>
                <w:szCs w:val="23"/>
                <w:lang w:val="es-ES_tradnl" w:eastAsia="es-ES"/>
              </w:rPr>
            </w:pPr>
            <w:r>
              <w:rPr>
                <w:rFonts w:ascii="Cambria" w:hAnsi="Cambria" w:cs="Tahoma"/>
                <w:b/>
                <w:bCs/>
                <w:color w:val="000000"/>
                <w:sz w:val="23"/>
                <w:szCs w:val="23"/>
                <w:lang w:val="es-ES_tradnl" w:eastAsia="es-ES"/>
              </w:rPr>
              <w:t>$111,485.00</w:t>
            </w:r>
          </w:p>
        </w:tc>
      </w:tr>
    </w:tbl>
    <w:p w:rsidR="000E4B30" w:rsidRDefault="000E4B30" w:rsidP="000E4B30">
      <w:pPr>
        <w:ind w:left="708"/>
        <w:jc w:val="both"/>
        <w:rPr>
          <w:sz w:val="22"/>
          <w:szCs w:val="22"/>
        </w:rPr>
      </w:pPr>
    </w:p>
    <w:p w:rsidR="000E4B30" w:rsidRDefault="000E4B30" w:rsidP="000E4B30">
      <w:pPr>
        <w:ind w:left="708"/>
        <w:jc w:val="both"/>
        <w:rPr>
          <w:sz w:val="22"/>
          <w:szCs w:val="22"/>
        </w:rPr>
      </w:pPr>
    </w:p>
    <w:p w:rsidR="000E4B30" w:rsidRPr="00487178" w:rsidRDefault="000E4B30" w:rsidP="000E4B30">
      <w:pPr>
        <w:pStyle w:val="Prrafodelista"/>
        <w:numPr>
          <w:ilvl w:val="0"/>
          <w:numId w:val="14"/>
        </w:numPr>
        <w:spacing w:after="200" w:line="276" w:lineRule="auto"/>
        <w:rPr>
          <w:color w:val="0070C0"/>
        </w:rPr>
      </w:pPr>
      <w:r w:rsidRPr="00487178">
        <w:rPr>
          <w:color w:val="2E74B5" w:themeColor="accent1" w:themeShade="BF"/>
        </w:rPr>
        <w:t xml:space="preserve">Retenciones y contribuciones por pagar a Corto Plazo $ </w:t>
      </w:r>
      <w:r w:rsidRPr="00E83855">
        <w:rPr>
          <w:color w:val="2E74B5" w:themeColor="accent1" w:themeShade="BF"/>
        </w:rPr>
        <w:t>1</w:t>
      </w:r>
      <w:r>
        <w:rPr>
          <w:color w:val="2E74B5" w:themeColor="accent1" w:themeShade="BF"/>
        </w:rPr>
        <w:t>’</w:t>
      </w:r>
      <w:r w:rsidRPr="00E83855">
        <w:rPr>
          <w:color w:val="2E74B5" w:themeColor="accent1" w:themeShade="BF"/>
        </w:rPr>
        <w:t>712</w:t>
      </w:r>
      <w:r>
        <w:rPr>
          <w:color w:val="2E74B5" w:themeColor="accent1" w:themeShade="BF"/>
        </w:rPr>
        <w:t>,</w:t>
      </w:r>
      <w:r w:rsidRPr="00E83855">
        <w:rPr>
          <w:color w:val="2E74B5" w:themeColor="accent1" w:themeShade="BF"/>
        </w:rPr>
        <w:t>897.5</w:t>
      </w:r>
      <w:r>
        <w:rPr>
          <w:color w:val="2E74B5" w:themeColor="accent1" w:themeShade="BF"/>
        </w:rPr>
        <w:t>0</w:t>
      </w:r>
    </w:p>
    <w:p w:rsidR="000E4B30" w:rsidRDefault="000E4B30" w:rsidP="000E4B30">
      <w:pPr>
        <w:jc w:val="both"/>
        <w:rPr>
          <w:sz w:val="22"/>
          <w:szCs w:val="22"/>
        </w:rPr>
      </w:pPr>
      <w:r w:rsidRPr="0096254B">
        <w:rPr>
          <w:sz w:val="22"/>
          <w:szCs w:val="22"/>
        </w:rPr>
        <w:t>Esta cuenta está integrada por las retenciones que se realizan de acuerdo a las leyes de ISR, IMSS e INFONAVIT, por los siguientes conceptos: ISR RETENCIÓN SALARIOS, ISR RETENCIÓN POR SERVICIOS PROFESIONALES, Retenciones de amortización de CRÉDITOS INFONAVIT de los trabajadores de la cuota obrera al IMSS, por el 3% sobre nómina entre otros.</w:t>
      </w:r>
    </w:p>
    <w:p w:rsidR="000E4B30" w:rsidRDefault="000E4B30" w:rsidP="000E4B30">
      <w:pPr>
        <w:jc w:val="both"/>
        <w:rPr>
          <w:sz w:val="22"/>
          <w:szCs w:val="22"/>
        </w:rPr>
      </w:pPr>
    </w:p>
    <w:tbl>
      <w:tblPr>
        <w:tblW w:w="6020" w:type="dxa"/>
        <w:jc w:val="center"/>
        <w:tblCellMar>
          <w:left w:w="70" w:type="dxa"/>
          <w:right w:w="70" w:type="dxa"/>
        </w:tblCellMar>
        <w:tblLook w:val="04A0" w:firstRow="1" w:lastRow="0" w:firstColumn="1" w:lastColumn="0" w:noHBand="0" w:noVBand="1"/>
      </w:tblPr>
      <w:tblGrid>
        <w:gridCol w:w="3635"/>
        <w:gridCol w:w="2385"/>
      </w:tblGrid>
      <w:tr w:rsidR="000E4B30" w:rsidRPr="00E83855" w:rsidTr="00F34562">
        <w:trPr>
          <w:trHeight w:val="210"/>
          <w:jc w:val="center"/>
        </w:trPr>
        <w:tc>
          <w:tcPr>
            <w:tcW w:w="6020"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0E4B30" w:rsidRPr="00E83855" w:rsidRDefault="000E4B30" w:rsidP="00F34562">
            <w:pPr>
              <w:jc w:val="center"/>
              <w:rPr>
                <w:rFonts w:ascii="Cambria" w:hAnsi="Cambria" w:cs="Tahoma"/>
                <w:b/>
                <w:bCs/>
                <w:color w:val="000000"/>
                <w:sz w:val="16"/>
                <w:szCs w:val="16"/>
              </w:rPr>
            </w:pPr>
            <w:r w:rsidRPr="00E83855">
              <w:rPr>
                <w:rFonts w:ascii="Cambria" w:hAnsi="Cambria" w:cs="Tahoma"/>
                <w:b/>
                <w:bCs/>
                <w:color w:val="000000"/>
                <w:sz w:val="16"/>
                <w:szCs w:val="16"/>
              </w:rPr>
              <w:t>IMPUESTOS Y CONTRIBUCIONES POR PAGAR</w:t>
            </w:r>
          </w:p>
        </w:tc>
      </w:tr>
      <w:tr w:rsidR="000E4B30" w:rsidRPr="00E83855" w:rsidTr="00F34562">
        <w:trPr>
          <w:trHeight w:val="210"/>
          <w:jc w:val="center"/>
        </w:trPr>
        <w:tc>
          <w:tcPr>
            <w:tcW w:w="3635" w:type="dxa"/>
            <w:tcBorders>
              <w:top w:val="nil"/>
              <w:left w:val="single" w:sz="8" w:space="0" w:color="auto"/>
              <w:bottom w:val="single" w:sz="8" w:space="0" w:color="auto"/>
              <w:right w:val="nil"/>
            </w:tcBorders>
            <w:shd w:val="clear" w:color="000000" w:fill="FFFFFF"/>
            <w:noWrap/>
            <w:vAlign w:val="center"/>
            <w:hideMark/>
          </w:tcPr>
          <w:p w:rsidR="000E4B30" w:rsidRPr="00E83855" w:rsidRDefault="000E4B30" w:rsidP="00F34562">
            <w:pPr>
              <w:rPr>
                <w:rFonts w:ascii="Cambria" w:hAnsi="Cambria" w:cs="Tahoma"/>
                <w:color w:val="000000"/>
                <w:sz w:val="16"/>
                <w:szCs w:val="16"/>
              </w:rPr>
            </w:pPr>
            <w:r w:rsidRPr="00E83855">
              <w:rPr>
                <w:rFonts w:ascii="Cambria" w:hAnsi="Cambria" w:cs="Tahoma"/>
                <w:color w:val="000000"/>
                <w:sz w:val="16"/>
                <w:szCs w:val="16"/>
              </w:rPr>
              <w:t>ISR Retención Servicios Profesionales</w:t>
            </w:r>
          </w:p>
        </w:tc>
        <w:tc>
          <w:tcPr>
            <w:tcW w:w="2385" w:type="dxa"/>
            <w:tcBorders>
              <w:top w:val="nil"/>
              <w:left w:val="single" w:sz="8" w:space="0" w:color="auto"/>
              <w:bottom w:val="single" w:sz="8" w:space="0" w:color="auto"/>
              <w:right w:val="single" w:sz="8" w:space="0" w:color="auto"/>
            </w:tcBorders>
            <w:shd w:val="clear" w:color="000000" w:fill="FFFFFF"/>
            <w:vAlign w:val="center"/>
            <w:hideMark/>
          </w:tcPr>
          <w:p w:rsidR="000E4B30" w:rsidRPr="00E83855" w:rsidRDefault="000E4B30" w:rsidP="00F34562">
            <w:pPr>
              <w:jc w:val="right"/>
              <w:rPr>
                <w:rFonts w:ascii="Cambria" w:hAnsi="Cambria" w:cs="Tahoma"/>
                <w:color w:val="000000"/>
                <w:sz w:val="16"/>
                <w:szCs w:val="16"/>
              </w:rPr>
            </w:pPr>
            <w:r w:rsidRPr="00E83855">
              <w:rPr>
                <w:rFonts w:ascii="Cambria" w:hAnsi="Cambria" w:cs="Tahoma"/>
                <w:color w:val="000000"/>
                <w:sz w:val="16"/>
                <w:szCs w:val="16"/>
              </w:rPr>
              <w:t>$220,433.22</w:t>
            </w:r>
          </w:p>
        </w:tc>
      </w:tr>
      <w:tr w:rsidR="000E4B30" w:rsidRPr="00E83855" w:rsidTr="00F34562">
        <w:trPr>
          <w:trHeight w:val="210"/>
          <w:jc w:val="center"/>
        </w:trPr>
        <w:tc>
          <w:tcPr>
            <w:tcW w:w="3635" w:type="dxa"/>
            <w:tcBorders>
              <w:top w:val="nil"/>
              <w:left w:val="single" w:sz="8" w:space="0" w:color="auto"/>
              <w:bottom w:val="single" w:sz="8" w:space="0" w:color="auto"/>
              <w:right w:val="nil"/>
            </w:tcBorders>
            <w:shd w:val="clear" w:color="000000" w:fill="FFFFFF"/>
            <w:noWrap/>
            <w:vAlign w:val="center"/>
            <w:hideMark/>
          </w:tcPr>
          <w:p w:rsidR="000E4B30" w:rsidRPr="00E83855" w:rsidRDefault="000E4B30" w:rsidP="00F34562">
            <w:pPr>
              <w:rPr>
                <w:rFonts w:ascii="Cambria" w:hAnsi="Cambria" w:cs="Tahoma"/>
                <w:color w:val="000000"/>
                <w:sz w:val="16"/>
                <w:szCs w:val="16"/>
              </w:rPr>
            </w:pPr>
            <w:r w:rsidRPr="00E83855">
              <w:rPr>
                <w:rFonts w:ascii="Cambria" w:hAnsi="Cambria" w:cs="Tahoma"/>
                <w:color w:val="000000"/>
                <w:sz w:val="16"/>
                <w:szCs w:val="16"/>
              </w:rPr>
              <w:t>ISR Retención Salarios</w:t>
            </w:r>
          </w:p>
        </w:tc>
        <w:tc>
          <w:tcPr>
            <w:tcW w:w="2385" w:type="dxa"/>
            <w:tcBorders>
              <w:top w:val="nil"/>
              <w:left w:val="single" w:sz="8" w:space="0" w:color="auto"/>
              <w:bottom w:val="single" w:sz="8" w:space="0" w:color="auto"/>
              <w:right w:val="single" w:sz="8" w:space="0" w:color="auto"/>
            </w:tcBorders>
            <w:shd w:val="clear" w:color="000000" w:fill="FFFFFF"/>
            <w:vAlign w:val="center"/>
            <w:hideMark/>
          </w:tcPr>
          <w:p w:rsidR="000E4B30" w:rsidRPr="00E83855" w:rsidRDefault="000E4B30" w:rsidP="00F34562">
            <w:pPr>
              <w:jc w:val="right"/>
              <w:rPr>
                <w:rFonts w:ascii="Cambria" w:hAnsi="Cambria" w:cs="Tahoma"/>
                <w:color w:val="000000"/>
                <w:sz w:val="16"/>
                <w:szCs w:val="16"/>
              </w:rPr>
            </w:pPr>
            <w:r w:rsidRPr="00E83855">
              <w:rPr>
                <w:rFonts w:ascii="Cambria" w:hAnsi="Cambria" w:cs="Tahoma"/>
                <w:color w:val="000000"/>
                <w:sz w:val="16"/>
                <w:szCs w:val="16"/>
              </w:rPr>
              <w:t>$1,239,705.73</w:t>
            </w:r>
          </w:p>
        </w:tc>
      </w:tr>
      <w:tr w:rsidR="000E4B30" w:rsidRPr="00E83855" w:rsidTr="00F34562">
        <w:trPr>
          <w:trHeight w:val="210"/>
          <w:jc w:val="center"/>
        </w:trPr>
        <w:tc>
          <w:tcPr>
            <w:tcW w:w="3635" w:type="dxa"/>
            <w:tcBorders>
              <w:top w:val="nil"/>
              <w:left w:val="single" w:sz="8" w:space="0" w:color="auto"/>
              <w:bottom w:val="single" w:sz="8" w:space="0" w:color="auto"/>
              <w:right w:val="nil"/>
            </w:tcBorders>
            <w:shd w:val="clear" w:color="000000" w:fill="FFFFFF"/>
            <w:noWrap/>
            <w:vAlign w:val="center"/>
            <w:hideMark/>
          </w:tcPr>
          <w:p w:rsidR="000E4B30" w:rsidRPr="00E83855" w:rsidRDefault="000E4B30" w:rsidP="00F34562">
            <w:pPr>
              <w:rPr>
                <w:rFonts w:ascii="Cambria" w:hAnsi="Cambria" w:cs="Tahoma"/>
                <w:color w:val="000000"/>
                <w:sz w:val="16"/>
                <w:szCs w:val="16"/>
              </w:rPr>
            </w:pPr>
            <w:r w:rsidRPr="00E83855">
              <w:rPr>
                <w:rFonts w:ascii="Cambria" w:hAnsi="Cambria" w:cs="Tahoma"/>
                <w:color w:val="000000"/>
                <w:sz w:val="16"/>
                <w:szCs w:val="16"/>
              </w:rPr>
              <w:t>Cuotas Obreras IMSS</w:t>
            </w:r>
          </w:p>
        </w:tc>
        <w:tc>
          <w:tcPr>
            <w:tcW w:w="2385" w:type="dxa"/>
            <w:tcBorders>
              <w:top w:val="nil"/>
              <w:left w:val="single" w:sz="8" w:space="0" w:color="auto"/>
              <w:bottom w:val="single" w:sz="8" w:space="0" w:color="auto"/>
              <w:right w:val="single" w:sz="8" w:space="0" w:color="auto"/>
            </w:tcBorders>
            <w:shd w:val="clear" w:color="000000" w:fill="FFFFFF"/>
            <w:vAlign w:val="center"/>
            <w:hideMark/>
          </w:tcPr>
          <w:p w:rsidR="000E4B30" w:rsidRPr="00E83855" w:rsidRDefault="000E4B30" w:rsidP="00F34562">
            <w:pPr>
              <w:jc w:val="right"/>
              <w:rPr>
                <w:rFonts w:ascii="Cambria" w:hAnsi="Cambria" w:cs="Tahoma"/>
                <w:color w:val="000000"/>
                <w:sz w:val="16"/>
                <w:szCs w:val="16"/>
              </w:rPr>
            </w:pPr>
            <w:r w:rsidRPr="00E83855">
              <w:rPr>
                <w:rFonts w:ascii="Cambria" w:hAnsi="Cambria" w:cs="Tahoma"/>
                <w:color w:val="000000"/>
                <w:sz w:val="16"/>
                <w:szCs w:val="16"/>
              </w:rPr>
              <w:t>$112,450.86</w:t>
            </w:r>
          </w:p>
        </w:tc>
      </w:tr>
      <w:tr w:rsidR="000E4B30" w:rsidRPr="00E83855" w:rsidTr="00F34562">
        <w:trPr>
          <w:trHeight w:val="210"/>
          <w:jc w:val="center"/>
        </w:trPr>
        <w:tc>
          <w:tcPr>
            <w:tcW w:w="3635" w:type="dxa"/>
            <w:tcBorders>
              <w:top w:val="nil"/>
              <w:left w:val="single" w:sz="8" w:space="0" w:color="auto"/>
              <w:bottom w:val="single" w:sz="8" w:space="0" w:color="auto"/>
              <w:right w:val="nil"/>
            </w:tcBorders>
            <w:shd w:val="clear" w:color="000000" w:fill="FFFFFF"/>
            <w:noWrap/>
            <w:vAlign w:val="center"/>
            <w:hideMark/>
          </w:tcPr>
          <w:p w:rsidR="000E4B30" w:rsidRPr="00E83855" w:rsidRDefault="000E4B30" w:rsidP="00F34562">
            <w:pPr>
              <w:rPr>
                <w:rFonts w:ascii="Cambria" w:hAnsi="Cambria" w:cs="Tahoma"/>
                <w:color w:val="000000"/>
                <w:sz w:val="16"/>
                <w:szCs w:val="16"/>
              </w:rPr>
            </w:pPr>
            <w:r w:rsidRPr="00E83855">
              <w:rPr>
                <w:rFonts w:ascii="Cambria" w:hAnsi="Cambria" w:cs="Tahoma"/>
                <w:color w:val="000000"/>
                <w:sz w:val="16"/>
                <w:szCs w:val="16"/>
              </w:rPr>
              <w:t>Crédito INFONAVIT</w:t>
            </w:r>
          </w:p>
        </w:tc>
        <w:tc>
          <w:tcPr>
            <w:tcW w:w="2385" w:type="dxa"/>
            <w:tcBorders>
              <w:top w:val="nil"/>
              <w:left w:val="single" w:sz="8" w:space="0" w:color="auto"/>
              <w:bottom w:val="single" w:sz="8" w:space="0" w:color="auto"/>
              <w:right w:val="single" w:sz="8" w:space="0" w:color="auto"/>
            </w:tcBorders>
            <w:shd w:val="clear" w:color="000000" w:fill="FFFFFF"/>
            <w:vAlign w:val="center"/>
            <w:hideMark/>
          </w:tcPr>
          <w:p w:rsidR="000E4B30" w:rsidRPr="00E83855" w:rsidRDefault="000E4B30" w:rsidP="00F34562">
            <w:pPr>
              <w:jc w:val="right"/>
              <w:rPr>
                <w:rFonts w:ascii="Cambria" w:hAnsi="Cambria" w:cs="Tahoma"/>
                <w:color w:val="000000"/>
                <w:sz w:val="16"/>
                <w:szCs w:val="16"/>
              </w:rPr>
            </w:pPr>
            <w:r w:rsidRPr="00E83855">
              <w:rPr>
                <w:rFonts w:ascii="Cambria" w:hAnsi="Cambria" w:cs="Tahoma"/>
                <w:color w:val="000000"/>
                <w:sz w:val="16"/>
                <w:szCs w:val="16"/>
              </w:rPr>
              <w:t>$140,307.69</w:t>
            </w:r>
          </w:p>
        </w:tc>
      </w:tr>
      <w:tr w:rsidR="000E4B30" w:rsidRPr="00E83855" w:rsidTr="00F34562">
        <w:trPr>
          <w:trHeight w:val="210"/>
          <w:jc w:val="center"/>
        </w:trPr>
        <w:tc>
          <w:tcPr>
            <w:tcW w:w="3635" w:type="dxa"/>
            <w:tcBorders>
              <w:top w:val="nil"/>
              <w:left w:val="single" w:sz="8" w:space="0" w:color="auto"/>
              <w:bottom w:val="single" w:sz="8" w:space="0" w:color="auto"/>
              <w:right w:val="nil"/>
            </w:tcBorders>
            <w:shd w:val="clear" w:color="000000" w:fill="FFFFFF"/>
            <w:noWrap/>
            <w:vAlign w:val="center"/>
            <w:hideMark/>
          </w:tcPr>
          <w:p w:rsidR="000E4B30" w:rsidRPr="00E83855" w:rsidRDefault="000E4B30" w:rsidP="00F34562">
            <w:pPr>
              <w:jc w:val="right"/>
              <w:rPr>
                <w:rFonts w:ascii="Cambria" w:hAnsi="Cambria" w:cs="Tahoma"/>
                <w:b/>
                <w:bCs/>
                <w:color w:val="000000"/>
              </w:rPr>
            </w:pPr>
            <w:r w:rsidRPr="00E83855">
              <w:rPr>
                <w:rFonts w:ascii="Cambria" w:hAnsi="Cambria" w:cs="Tahoma"/>
                <w:b/>
                <w:bCs/>
                <w:color w:val="000000"/>
              </w:rPr>
              <w:t xml:space="preserve">TOTAL </w:t>
            </w:r>
          </w:p>
        </w:tc>
        <w:tc>
          <w:tcPr>
            <w:tcW w:w="2385" w:type="dxa"/>
            <w:tcBorders>
              <w:top w:val="nil"/>
              <w:left w:val="single" w:sz="8" w:space="0" w:color="auto"/>
              <w:bottom w:val="single" w:sz="8" w:space="0" w:color="auto"/>
              <w:right w:val="single" w:sz="8" w:space="0" w:color="auto"/>
            </w:tcBorders>
            <w:shd w:val="clear" w:color="000000" w:fill="0070C0"/>
            <w:noWrap/>
            <w:vAlign w:val="center"/>
            <w:hideMark/>
          </w:tcPr>
          <w:p w:rsidR="000E4B30" w:rsidRPr="00E83855" w:rsidRDefault="000E4B30" w:rsidP="00F34562">
            <w:pPr>
              <w:jc w:val="right"/>
              <w:rPr>
                <w:rFonts w:ascii="Cambria" w:hAnsi="Cambria" w:cs="Tahoma"/>
                <w:b/>
                <w:bCs/>
                <w:color w:val="000000"/>
              </w:rPr>
            </w:pPr>
            <w:r w:rsidRPr="00E83855">
              <w:rPr>
                <w:rFonts w:ascii="Cambria" w:hAnsi="Cambria" w:cs="Tahoma"/>
                <w:b/>
                <w:bCs/>
                <w:color w:val="000000"/>
              </w:rPr>
              <w:t>$1,712,897.50</w:t>
            </w:r>
          </w:p>
        </w:tc>
      </w:tr>
    </w:tbl>
    <w:p w:rsidR="000E4B30" w:rsidRDefault="000E4B30" w:rsidP="000E4B30">
      <w:pPr>
        <w:jc w:val="both"/>
        <w:rPr>
          <w:sz w:val="22"/>
          <w:szCs w:val="22"/>
        </w:rPr>
      </w:pPr>
      <w:r>
        <w:rPr>
          <w:sz w:val="22"/>
          <w:szCs w:val="22"/>
        </w:rPr>
        <w:t>En este mes se reportan los escaneos de los pagos de las obligaciones fiscales del mes de noviembre. El pago de las obligaciones fiscales del mes de diciembre, se reporta los primeros días del mes siguiente, por lo tanto, el escaneo de los mismos se comparte en los estados financieros del mes de enero.</w:t>
      </w:r>
    </w:p>
    <w:p w:rsidR="000E4B30" w:rsidRDefault="000E4B30" w:rsidP="000E4B30">
      <w:pPr>
        <w:jc w:val="both"/>
        <w:rPr>
          <w:sz w:val="22"/>
          <w:szCs w:val="22"/>
        </w:rPr>
      </w:pPr>
    </w:p>
    <w:p w:rsidR="000E4B30" w:rsidRPr="00A23E16" w:rsidRDefault="000E4B30" w:rsidP="000E4B30">
      <w:pPr>
        <w:pStyle w:val="Prrafodelista"/>
        <w:numPr>
          <w:ilvl w:val="0"/>
          <w:numId w:val="14"/>
        </w:numPr>
        <w:spacing w:after="200" w:line="276" w:lineRule="auto"/>
        <w:rPr>
          <w:color w:val="2E74B5" w:themeColor="accent1" w:themeShade="BF"/>
        </w:rPr>
      </w:pPr>
      <w:r w:rsidRPr="00A23E16">
        <w:rPr>
          <w:color w:val="2E74B5" w:themeColor="accent1" w:themeShade="BF"/>
        </w:rPr>
        <w:t>Otras cuentas por pagar a Corto Plazo $14’69</w:t>
      </w:r>
      <w:r>
        <w:rPr>
          <w:color w:val="2E74B5" w:themeColor="accent1" w:themeShade="BF"/>
        </w:rPr>
        <w:t>6</w:t>
      </w:r>
      <w:r w:rsidRPr="00A23E16">
        <w:rPr>
          <w:color w:val="2E74B5" w:themeColor="accent1" w:themeShade="BF"/>
        </w:rPr>
        <w:t>,</w:t>
      </w:r>
      <w:r>
        <w:rPr>
          <w:color w:val="2E74B5" w:themeColor="accent1" w:themeShade="BF"/>
        </w:rPr>
        <w:t>075</w:t>
      </w:r>
      <w:r w:rsidRPr="00A23E16">
        <w:rPr>
          <w:color w:val="2E74B5" w:themeColor="accent1" w:themeShade="BF"/>
        </w:rPr>
        <w:t>.</w:t>
      </w:r>
      <w:r>
        <w:rPr>
          <w:color w:val="2E74B5" w:themeColor="accent1" w:themeShade="BF"/>
        </w:rPr>
        <w:t>04</w:t>
      </w:r>
    </w:p>
    <w:p w:rsidR="000E4B30" w:rsidRPr="001D07D6" w:rsidRDefault="000E4B30" w:rsidP="000E4B30">
      <w:pPr>
        <w:jc w:val="both"/>
        <w:rPr>
          <w:sz w:val="22"/>
          <w:szCs w:val="22"/>
        </w:rPr>
      </w:pPr>
      <w:r w:rsidRPr="001D07D6">
        <w:rPr>
          <w:sz w:val="22"/>
          <w:szCs w:val="22"/>
        </w:rPr>
        <w:t>El importe de esta cuenta está integrado</w:t>
      </w:r>
      <w:r>
        <w:rPr>
          <w:sz w:val="22"/>
          <w:szCs w:val="22"/>
        </w:rPr>
        <w:t xml:space="preserve"> por los Acreedores Diversos, y saldos que se vienen arrastrando de ejercicios anteriores.</w:t>
      </w:r>
    </w:p>
    <w:p w:rsidR="000E4B30" w:rsidRDefault="000E4B30" w:rsidP="000E4B30">
      <w:pPr>
        <w:rPr>
          <w:sz w:val="22"/>
          <w:szCs w:val="22"/>
        </w:rPr>
      </w:pPr>
    </w:p>
    <w:tbl>
      <w:tblPr>
        <w:tblW w:w="3976" w:type="dxa"/>
        <w:jc w:val="center"/>
        <w:tblCellMar>
          <w:left w:w="70" w:type="dxa"/>
          <w:right w:w="70" w:type="dxa"/>
        </w:tblCellMar>
        <w:tblLook w:val="04A0" w:firstRow="1" w:lastRow="0" w:firstColumn="1" w:lastColumn="0" w:noHBand="0" w:noVBand="1"/>
      </w:tblPr>
      <w:tblGrid>
        <w:gridCol w:w="2446"/>
        <w:gridCol w:w="1530"/>
      </w:tblGrid>
      <w:tr w:rsidR="000E4B30" w:rsidRPr="00950EDF" w:rsidTr="00F34562">
        <w:trPr>
          <w:trHeight w:val="210"/>
          <w:jc w:val="center"/>
        </w:trPr>
        <w:tc>
          <w:tcPr>
            <w:tcW w:w="3976"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0E4B30" w:rsidRPr="00950EDF" w:rsidRDefault="000E4B30" w:rsidP="00F34562">
            <w:pPr>
              <w:jc w:val="center"/>
              <w:rPr>
                <w:b/>
                <w:bCs/>
                <w:color w:val="000000"/>
                <w:sz w:val="16"/>
                <w:szCs w:val="16"/>
              </w:rPr>
            </w:pPr>
            <w:r w:rsidRPr="00950EDF">
              <w:rPr>
                <w:b/>
                <w:bCs/>
                <w:color w:val="000000"/>
                <w:sz w:val="16"/>
                <w:szCs w:val="16"/>
              </w:rPr>
              <w:t xml:space="preserve">OTRAS CUENTAS POR PAGAR A CORTO PLAZO </w:t>
            </w:r>
          </w:p>
        </w:tc>
      </w:tr>
      <w:tr w:rsidR="000E4B30" w:rsidRPr="00950EDF" w:rsidTr="00F34562">
        <w:trPr>
          <w:trHeight w:val="210"/>
          <w:jc w:val="center"/>
        </w:trPr>
        <w:tc>
          <w:tcPr>
            <w:tcW w:w="2446"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Diferencias por depósitos erróneos</w:t>
            </w:r>
          </w:p>
        </w:tc>
        <w:tc>
          <w:tcPr>
            <w:tcW w:w="1530" w:type="dxa"/>
            <w:tcBorders>
              <w:top w:val="nil"/>
              <w:left w:val="nil"/>
              <w:bottom w:val="single" w:sz="8" w:space="0" w:color="auto"/>
              <w:right w:val="single" w:sz="8" w:space="0" w:color="auto"/>
            </w:tcBorders>
            <w:shd w:val="clear" w:color="000000" w:fill="FFFFFF"/>
            <w:vAlign w:val="center"/>
            <w:hideMark/>
          </w:tcPr>
          <w:p w:rsidR="000E4B30" w:rsidRPr="00950EDF" w:rsidRDefault="000E4B30" w:rsidP="00F34562">
            <w:pPr>
              <w:jc w:val="right"/>
              <w:rPr>
                <w:color w:val="000000"/>
                <w:sz w:val="16"/>
                <w:szCs w:val="16"/>
              </w:rPr>
            </w:pPr>
            <w:r>
              <w:rPr>
                <w:color w:val="000000"/>
                <w:sz w:val="16"/>
                <w:szCs w:val="16"/>
              </w:rPr>
              <w:t>$1,295.53</w:t>
            </w:r>
          </w:p>
        </w:tc>
      </w:tr>
      <w:tr w:rsidR="000E4B30" w:rsidRPr="00950EDF" w:rsidTr="00F34562">
        <w:trPr>
          <w:trHeight w:val="210"/>
          <w:jc w:val="center"/>
        </w:trPr>
        <w:tc>
          <w:tcPr>
            <w:tcW w:w="2446"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rPr>
                <w:color w:val="000000"/>
                <w:sz w:val="16"/>
                <w:szCs w:val="16"/>
              </w:rPr>
            </w:pPr>
            <w:r w:rsidRPr="00950EDF">
              <w:rPr>
                <w:color w:val="000000"/>
                <w:sz w:val="16"/>
                <w:szCs w:val="16"/>
              </w:rPr>
              <w:t>BBVA Bancomer</w:t>
            </w:r>
          </w:p>
        </w:tc>
        <w:tc>
          <w:tcPr>
            <w:tcW w:w="1530" w:type="dxa"/>
            <w:tcBorders>
              <w:top w:val="nil"/>
              <w:left w:val="nil"/>
              <w:bottom w:val="single" w:sz="8" w:space="0" w:color="auto"/>
              <w:right w:val="single" w:sz="8" w:space="0" w:color="auto"/>
            </w:tcBorders>
            <w:shd w:val="clear" w:color="000000" w:fill="FFFFFF"/>
            <w:vAlign w:val="center"/>
            <w:hideMark/>
          </w:tcPr>
          <w:p w:rsidR="000E4B30" w:rsidRPr="00950EDF" w:rsidRDefault="000E4B30" w:rsidP="00F34562">
            <w:pPr>
              <w:jc w:val="right"/>
              <w:rPr>
                <w:color w:val="000000"/>
                <w:sz w:val="16"/>
                <w:szCs w:val="16"/>
              </w:rPr>
            </w:pPr>
            <w:r w:rsidRPr="008C15B8">
              <w:rPr>
                <w:color w:val="000000"/>
                <w:sz w:val="16"/>
                <w:szCs w:val="16"/>
              </w:rPr>
              <w:t>$</w:t>
            </w:r>
            <w:r>
              <w:rPr>
                <w:color w:val="000000"/>
                <w:sz w:val="16"/>
                <w:szCs w:val="16"/>
              </w:rPr>
              <w:t>3,737</w:t>
            </w:r>
            <w:r w:rsidRPr="008C15B8">
              <w:rPr>
                <w:color w:val="000000"/>
                <w:sz w:val="16"/>
                <w:szCs w:val="16"/>
              </w:rPr>
              <w:t>.</w:t>
            </w:r>
            <w:r>
              <w:rPr>
                <w:color w:val="000000"/>
                <w:sz w:val="16"/>
                <w:szCs w:val="16"/>
              </w:rPr>
              <w:t>05</w:t>
            </w:r>
          </w:p>
        </w:tc>
      </w:tr>
      <w:tr w:rsidR="000E4B30" w:rsidRPr="00950EDF" w:rsidTr="00F34562">
        <w:trPr>
          <w:trHeight w:val="210"/>
          <w:jc w:val="center"/>
        </w:trPr>
        <w:tc>
          <w:tcPr>
            <w:tcW w:w="2446" w:type="dxa"/>
            <w:tcBorders>
              <w:top w:val="nil"/>
              <w:left w:val="single" w:sz="8" w:space="0" w:color="auto"/>
              <w:bottom w:val="single" w:sz="8" w:space="0" w:color="auto"/>
              <w:right w:val="single" w:sz="8" w:space="0" w:color="auto"/>
            </w:tcBorders>
            <w:shd w:val="clear" w:color="000000" w:fill="FFFFFF"/>
            <w:noWrap/>
            <w:vAlign w:val="center"/>
            <w:hideMark/>
          </w:tcPr>
          <w:p w:rsidR="000E4B30" w:rsidRPr="00950EDF" w:rsidRDefault="000E4B30" w:rsidP="00F34562">
            <w:pPr>
              <w:jc w:val="right"/>
              <w:rPr>
                <w:b/>
                <w:bCs/>
                <w:color w:val="000000"/>
                <w:sz w:val="16"/>
                <w:szCs w:val="16"/>
              </w:rPr>
            </w:pPr>
            <w:r w:rsidRPr="00950EDF">
              <w:rPr>
                <w:b/>
                <w:bCs/>
                <w:color w:val="000000"/>
                <w:sz w:val="16"/>
                <w:szCs w:val="16"/>
              </w:rPr>
              <w:t xml:space="preserve"> TOTAL</w:t>
            </w:r>
          </w:p>
        </w:tc>
        <w:tc>
          <w:tcPr>
            <w:tcW w:w="1530" w:type="dxa"/>
            <w:tcBorders>
              <w:top w:val="nil"/>
              <w:left w:val="nil"/>
              <w:bottom w:val="single" w:sz="8" w:space="0" w:color="auto"/>
              <w:right w:val="single" w:sz="8" w:space="0" w:color="auto"/>
            </w:tcBorders>
            <w:shd w:val="clear" w:color="000000" w:fill="0070C0"/>
            <w:noWrap/>
            <w:vAlign w:val="center"/>
            <w:hideMark/>
          </w:tcPr>
          <w:p w:rsidR="000E4B30" w:rsidRPr="00950EDF" w:rsidRDefault="000E4B30" w:rsidP="00F34562">
            <w:pPr>
              <w:jc w:val="right"/>
              <w:rPr>
                <w:b/>
                <w:bCs/>
                <w:color w:val="000000"/>
                <w:sz w:val="16"/>
                <w:szCs w:val="16"/>
              </w:rPr>
            </w:pPr>
            <w:r w:rsidRPr="00950EDF">
              <w:rPr>
                <w:b/>
                <w:bCs/>
                <w:color w:val="000000"/>
                <w:sz w:val="16"/>
                <w:szCs w:val="16"/>
              </w:rPr>
              <w:t>$</w:t>
            </w:r>
            <w:r>
              <w:rPr>
                <w:b/>
                <w:bCs/>
                <w:color w:val="000000"/>
                <w:sz w:val="16"/>
                <w:szCs w:val="16"/>
              </w:rPr>
              <w:t>5</w:t>
            </w:r>
            <w:r w:rsidRPr="00950EDF">
              <w:rPr>
                <w:b/>
                <w:bCs/>
                <w:color w:val="000000"/>
                <w:sz w:val="16"/>
                <w:szCs w:val="16"/>
              </w:rPr>
              <w:t>,</w:t>
            </w:r>
            <w:r>
              <w:rPr>
                <w:b/>
                <w:bCs/>
                <w:color w:val="000000"/>
                <w:sz w:val="16"/>
                <w:szCs w:val="16"/>
              </w:rPr>
              <w:t>032</w:t>
            </w:r>
            <w:r w:rsidRPr="00950EDF">
              <w:rPr>
                <w:b/>
                <w:bCs/>
                <w:color w:val="000000"/>
                <w:sz w:val="16"/>
                <w:szCs w:val="16"/>
              </w:rPr>
              <w:t>.</w:t>
            </w:r>
            <w:r>
              <w:rPr>
                <w:b/>
                <w:bCs/>
                <w:color w:val="000000"/>
                <w:sz w:val="16"/>
                <w:szCs w:val="16"/>
              </w:rPr>
              <w:t>58</w:t>
            </w:r>
          </w:p>
        </w:tc>
      </w:tr>
    </w:tbl>
    <w:p w:rsidR="000E4B30" w:rsidRDefault="000E4B30" w:rsidP="000E4B30">
      <w:pPr>
        <w:rPr>
          <w:sz w:val="22"/>
          <w:szCs w:val="22"/>
        </w:rPr>
      </w:pPr>
    </w:p>
    <w:p w:rsidR="000E4B30" w:rsidRPr="00FF3DE2" w:rsidRDefault="000E4B30" w:rsidP="000E4B30">
      <w:pPr>
        <w:rPr>
          <w:sz w:val="22"/>
          <w:szCs w:val="22"/>
        </w:rPr>
      </w:pPr>
    </w:p>
    <w:p w:rsidR="000E4B30" w:rsidRPr="00FF3DE2" w:rsidRDefault="000E4B30" w:rsidP="000E4B30">
      <w:pPr>
        <w:rPr>
          <w:sz w:val="22"/>
          <w:szCs w:val="22"/>
        </w:rPr>
      </w:pPr>
      <w:r w:rsidRPr="00FF3DE2">
        <w:rPr>
          <w:sz w:val="22"/>
          <w:szCs w:val="22"/>
        </w:rPr>
        <w:t>La cuenta de adeudos de ejer</w:t>
      </w:r>
      <w:r>
        <w:rPr>
          <w:sz w:val="22"/>
          <w:szCs w:val="22"/>
        </w:rPr>
        <w:t>cicios anteriores $14’691,042.45</w:t>
      </w:r>
      <w:r w:rsidRPr="00FF3DE2">
        <w:rPr>
          <w:sz w:val="22"/>
          <w:szCs w:val="22"/>
        </w:rPr>
        <w:t xml:space="preserve"> se encuentra integrada por:</w:t>
      </w:r>
    </w:p>
    <w:p w:rsidR="000E4B30" w:rsidRDefault="000E4B30" w:rsidP="000E4B30">
      <w:pPr>
        <w:rPr>
          <w:color w:val="0070C0"/>
          <w:sz w:val="22"/>
          <w:szCs w:val="23"/>
        </w:rPr>
      </w:pPr>
    </w:p>
    <w:tbl>
      <w:tblPr>
        <w:tblW w:w="0" w:type="auto"/>
        <w:jc w:val="center"/>
        <w:tblCellMar>
          <w:left w:w="70" w:type="dxa"/>
          <w:right w:w="70" w:type="dxa"/>
        </w:tblCellMar>
        <w:tblLook w:val="04A0" w:firstRow="1" w:lastRow="0" w:firstColumn="1" w:lastColumn="0" w:noHBand="0" w:noVBand="1"/>
      </w:tblPr>
      <w:tblGrid>
        <w:gridCol w:w="977"/>
        <w:gridCol w:w="2431"/>
        <w:gridCol w:w="1340"/>
      </w:tblGrid>
      <w:tr w:rsidR="000E4B30" w:rsidRPr="00950EDF" w:rsidTr="00F34562">
        <w:trPr>
          <w:trHeight w:val="210"/>
          <w:jc w:val="center"/>
        </w:trPr>
        <w:tc>
          <w:tcPr>
            <w:tcW w:w="97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rsidR="000E4B30" w:rsidRPr="00950EDF" w:rsidRDefault="000E4B30" w:rsidP="00F34562">
            <w:pPr>
              <w:jc w:val="center"/>
              <w:rPr>
                <w:b/>
                <w:bCs/>
                <w:color w:val="000000"/>
                <w:sz w:val="16"/>
                <w:szCs w:val="16"/>
              </w:rPr>
            </w:pPr>
            <w:r w:rsidRPr="00950EDF">
              <w:rPr>
                <w:b/>
                <w:bCs/>
                <w:color w:val="000000"/>
                <w:sz w:val="16"/>
                <w:szCs w:val="16"/>
              </w:rPr>
              <w:t>AÑO</w:t>
            </w:r>
          </w:p>
        </w:tc>
        <w:tc>
          <w:tcPr>
            <w:tcW w:w="0" w:type="auto"/>
            <w:tcBorders>
              <w:top w:val="single" w:sz="4" w:space="0" w:color="auto"/>
              <w:left w:val="nil"/>
              <w:bottom w:val="single" w:sz="4" w:space="0" w:color="auto"/>
              <w:right w:val="single" w:sz="4" w:space="0" w:color="auto"/>
            </w:tcBorders>
            <w:shd w:val="clear" w:color="auto" w:fill="0070C0"/>
            <w:noWrap/>
            <w:vAlign w:val="bottom"/>
            <w:hideMark/>
          </w:tcPr>
          <w:p w:rsidR="000E4B30" w:rsidRPr="00950EDF" w:rsidRDefault="000E4B30" w:rsidP="00F34562">
            <w:pPr>
              <w:jc w:val="center"/>
              <w:rPr>
                <w:b/>
                <w:bCs/>
                <w:color w:val="000000"/>
                <w:sz w:val="16"/>
                <w:szCs w:val="16"/>
              </w:rPr>
            </w:pPr>
            <w:r w:rsidRPr="00950EDF">
              <w:rPr>
                <w:b/>
                <w:bCs/>
                <w:color w:val="000000"/>
                <w:sz w:val="16"/>
                <w:szCs w:val="16"/>
              </w:rPr>
              <w:t>PROVEEDOR</w:t>
            </w:r>
          </w:p>
        </w:tc>
        <w:tc>
          <w:tcPr>
            <w:tcW w:w="0" w:type="auto"/>
            <w:tcBorders>
              <w:top w:val="single" w:sz="4" w:space="0" w:color="auto"/>
              <w:left w:val="nil"/>
              <w:bottom w:val="single" w:sz="4" w:space="0" w:color="auto"/>
              <w:right w:val="single" w:sz="4" w:space="0" w:color="auto"/>
            </w:tcBorders>
            <w:shd w:val="clear" w:color="auto" w:fill="0070C0"/>
            <w:noWrap/>
            <w:vAlign w:val="bottom"/>
            <w:hideMark/>
          </w:tcPr>
          <w:p w:rsidR="000E4B30" w:rsidRPr="00950EDF" w:rsidRDefault="000E4B30" w:rsidP="00F34562">
            <w:pPr>
              <w:jc w:val="center"/>
              <w:rPr>
                <w:b/>
                <w:bCs/>
                <w:color w:val="000000"/>
                <w:sz w:val="16"/>
                <w:szCs w:val="16"/>
              </w:rPr>
            </w:pPr>
            <w:r w:rsidRPr="00950EDF">
              <w:rPr>
                <w:b/>
                <w:bCs/>
                <w:color w:val="000000"/>
                <w:sz w:val="16"/>
                <w:szCs w:val="16"/>
              </w:rPr>
              <w:t>MONTO</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2010</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Corporativo Empresarial</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142,573.89</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2010</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José Rafael González</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12,262.58</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lastRenderedPageBreak/>
              <w:t>2011</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José Rentería Ceja</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4,156,818.55</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2011</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Corporativo Empresarial</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4,304,143.63</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2011</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Juan Pablo Navarrete</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1,282,876.14</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2011</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Constructora Arsamar S.A. de C.V.</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2,152.55</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2011</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Estética Funcionalidad</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2,149.17</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2011</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Constructora Ragoce S.A. de C.V.</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222,418.73</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2011</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Rodrigo Higareda Amezcua</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681.76</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2011</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Provisiones por Obra Pública</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4,542,630.70</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2012</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Rodrigo Sánchez Zepeda</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7,623.16</w:t>
            </w:r>
          </w:p>
        </w:tc>
      </w:tr>
      <w:tr w:rsidR="000E4B30" w:rsidRPr="00950EDF" w:rsidTr="00F34562">
        <w:trPr>
          <w:trHeight w:val="210"/>
          <w:jc w:val="center"/>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2013</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rPr>
                <w:color w:val="000000"/>
                <w:sz w:val="16"/>
                <w:szCs w:val="16"/>
              </w:rPr>
            </w:pPr>
            <w:r w:rsidRPr="00950EDF">
              <w:rPr>
                <w:color w:val="000000"/>
                <w:sz w:val="16"/>
                <w:szCs w:val="16"/>
              </w:rPr>
              <w:t>Corporativo Empresarial</w:t>
            </w:r>
          </w:p>
        </w:tc>
        <w:tc>
          <w:tcPr>
            <w:tcW w:w="0" w:type="auto"/>
            <w:tcBorders>
              <w:top w:val="nil"/>
              <w:left w:val="nil"/>
              <w:bottom w:val="single" w:sz="4" w:space="0" w:color="auto"/>
              <w:right w:val="single" w:sz="4" w:space="0" w:color="auto"/>
            </w:tcBorders>
            <w:shd w:val="clear" w:color="auto" w:fill="auto"/>
            <w:noWrap/>
            <w:vAlign w:val="bottom"/>
            <w:hideMark/>
          </w:tcPr>
          <w:p w:rsidR="000E4B30" w:rsidRPr="00950EDF" w:rsidRDefault="000E4B30" w:rsidP="00F34562">
            <w:pPr>
              <w:jc w:val="center"/>
              <w:rPr>
                <w:color w:val="000000"/>
                <w:sz w:val="16"/>
                <w:szCs w:val="16"/>
              </w:rPr>
            </w:pPr>
            <w:r w:rsidRPr="00950EDF">
              <w:rPr>
                <w:color w:val="000000"/>
                <w:sz w:val="16"/>
                <w:szCs w:val="16"/>
              </w:rPr>
              <w:t>$           14,711.59</w:t>
            </w:r>
          </w:p>
        </w:tc>
      </w:tr>
      <w:tr w:rsidR="000E4B30" w:rsidRPr="00950EDF" w:rsidTr="00F34562">
        <w:trPr>
          <w:trHeight w:val="210"/>
          <w:jc w:val="center"/>
        </w:trPr>
        <w:tc>
          <w:tcPr>
            <w:tcW w:w="340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E4B30" w:rsidRPr="00950EDF" w:rsidRDefault="000E4B30" w:rsidP="00F34562">
            <w:pPr>
              <w:jc w:val="right"/>
              <w:rPr>
                <w:b/>
                <w:bCs/>
                <w:color w:val="000000"/>
                <w:sz w:val="16"/>
                <w:szCs w:val="16"/>
                <w:lang w:val="en-US"/>
              </w:rPr>
            </w:pPr>
            <w:r w:rsidRPr="00950EDF">
              <w:rPr>
                <w:b/>
                <w:bCs/>
                <w:color w:val="000000"/>
                <w:sz w:val="16"/>
                <w:szCs w:val="16"/>
                <w:lang w:val="en-US"/>
              </w:rPr>
              <w:t>TOTAL</w:t>
            </w:r>
          </w:p>
        </w:tc>
        <w:tc>
          <w:tcPr>
            <w:tcW w:w="0" w:type="auto"/>
            <w:tcBorders>
              <w:top w:val="nil"/>
              <w:left w:val="nil"/>
              <w:bottom w:val="single" w:sz="4" w:space="0" w:color="auto"/>
              <w:right w:val="single" w:sz="4" w:space="0" w:color="auto"/>
            </w:tcBorders>
            <w:shd w:val="clear" w:color="auto" w:fill="0070C0"/>
            <w:noWrap/>
            <w:vAlign w:val="bottom"/>
            <w:hideMark/>
          </w:tcPr>
          <w:p w:rsidR="000E4B30" w:rsidRPr="00950EDF" w:rsidRDefault="000E4B30" w:rsidP="00F34562">
            <w:pPr>
              <w:jc w:val="right"/>
              <w:rPr>
                <w:b/>
                <w:bCs/>
                <w:color w:val="000000"/>
                <w:sz w:val="16"/>
                <w:szCs w:val="16"/>
              </w:rPr>
            </w:pPr>
            <w:r w:rsidRPr="00950EDF">
              <w:rPr>
                <w:b/>
                <w:bCs/>
                <w:color w:val="000000"/>
                <w:sz w:val="16"/>
                <w:szCs w:val="16"/>
              </w:rPr>
              <w:t>$14’691,042.45</w:t>
            </w:r>
          </w:p>
        </w:tc>
      </w:tr>
    </w:tbl>
    <w:p w:rsidR="000E4B30" w:rsidRDefault="000E4B30" w:rsidP="000E4B30">
      <w:pPr>
        <w:rPr>
          <w:color w:val="0070C0"/>
          <w:sz w:val="22"/>
          <w:szCs w:val="23"/>
        </w:rPr>
      </w:pPr>
    </w:p>
    <w:p w:rsidR="000E4B30" w:rsidRPr="00FF3DE2" w:rsidRDefault="000E4B30" w:rsidP="000E4B30">
      <w:pPr>
        <w:ind w:left="708" w:firstLine="708"/>
        <w:rPr>
          <w:sz w:val="22"/>
          <w:szCs w:val="22"/>
        </w:rPr>
      </w:pPr>
      <w:r w:rsidRPr="00FF3DE2">
        <w:rPr>
          <w:sz w:val="22"/>
          <w:szCs w:val="22"/>
        </w:rPr>
        <w:t>No se cuenta con cobros de los proveedores mencionados.</w:t>
      </w:r>
    </w:p>
    <w:p w:rsidR="000E4B30" w:rsidRDefault="000E4B30" w:rsidP="000E4B30">
      <w:pPr>
        <w:ind w:left="708" w:firstLine="708"/>
        <w:rPr>
          <w:b/>
          <w:i/>
          <w:color w:val="0070C0"/>
          <w:sz w:val="22"/>
          <w:szCs w:val="22"/>
        </w:rPr>
      </w:pPr>
    </w:p>
    <w:p w:rsidR="000E4B30" w:rsidRDefault="000E4B30" w:rsidP="000E4B30">
      <w:pPr>
        <w:ind w:left="708" w:firstLine="708"/>
        <w:rPr>
          <w:b/>
          <w:i/>
          <w:color w:val="0070C0"/>
          <w:sz w:val="22"/>
          <w:szCs w:val="22"/>
        </w:rPr>
      </w:pPr>
    </w:p>
    <w:p w:rsidR="000E4B30" w:rsidRDefault="000E4B30" w:rsidP="000E4B30">
      <w:pPr>
        <w:ind w:left="708" w:firstLine="708"/>
        <w:rPr>
          <w:b/>
          <w:i/>
          <w:color w:val="0070C0"/>
          <w:sz w:val="22"/>
          <w:szCs w:val="22"/>
        </w:rPr>
      </w:pPr>
    </w:p>
    <w:p w:rsidR="000E4B30" w:rsidRDefault="000E4B30" w:rsidP="000E4B30">
      <w:pPr>
        <w:ind w:left="708" w:firstLine="708"/>
        <w:rPr>
          <w:b/>
          <w:i/>
          <w:color w:val="0070C0"/>
          <w:sz w:val="22"/>
          <w:szCs w:val="22"/>
        </w:rPr>
      </w:pPr>
    </w:p>
    <w:p w:rsidR="000E4B30" w:rsidRPr="00FF3DE2" w:rsidRDefault="000E4B30" w:rsidP="000E4B30">
      <w:pPr>
        <w:ind w:left="708" w:firstLine="708"/>
        <w:rPr>
          <w:b/>
          <w:i/>
          <w:color w:val="0070C0"/>
          <w:sz w:val="22"/>
          <w:szCs w:val="22"/>
        </w:rPr>
      </w:pPr>
    </w:p>
    <w:p w:rsidR="000E4B30" w:rsidRPr="00A23E16" w:rsidRDefault="000E4B30" w:rsidP="000E4B30">
      <w:pPr>
        <w:rPr>
          <w:b/>
          <w:color w:val="2E74B5" w:themeColor="accent1" w:themeShade="BF"/>
          <w:sz w:val="22"/>
          <w:szCs w:val="22"/>
        </w:rPr>
      </w:pPr>
      <w:r w:rsidRPr="00A23E16">
        <w:rPr>
          <w:b/>
          <w:color w:val="2E74B5" w:themeColor="accent1" w:themeShade="BF"/>
          <w:sz w:val="22"/>
          <w:szCs w:val="22"/>
        </w:rPr>
        <w:t>PASIVO NO CIRCULANTE $0.00</w:t>
      </w:r>
    </w:p>
    <w:p w:rsidR="000E4B30" w:rsidRPr="00A23E16" w:rsidRDefault="000E4B30" w:rsidP="000E4B30">
      <w:pPr>
        <w:rPr>
          <w:b/>
          <w:color w:val="2E74B5" w:themeColor="accent1" w:themeShade="BF"/>
          <w:sz w:val="22"/>
          <w:szCs w:val="22"/>
        </w:rPr>
      </w:pPr>
    </w:p>
    <w:p w:rsidR="000E4B30" w:rsidRPr="000F7B11" w:rsidRDefault="000E4B30" w:rsidP="000E4B30">
      <w:pPr>
        <w:jc w:val="both"/>
        <w:rPr>
          <w:sz w:val="22"/>
          <w:szCs w:val="22"/>
        </w:rPr>
      </w:pPr>
      <w:r w:rsidRPr="000F7B11">
        <w:rPr>
          <w:sz w:val="22"/>
          <w:szCs w:val="22"/>
        </w:rPr>
        <w:t>No se cuenta con pasivos no circulantes.</w:t>
      </w:r>
    </w:p>
    <w:p w:rsidR="000E4B30" w:rsidRPr="00FF3DE2" w:rsidRDefault="000E4B30" w:rsidP="000E4B30">
      <w:pPr>
        <w:rPr>
          <w:b/>
          <w:i/>
          <w:color w:val="0070C0"/>
          <w:sz w:val="22"/>
          <w:szCs w:val="22"/>
        </w:rPr>
      </w:pPr>
    </w:p>
    <w:p w:rsidR="000E4B30" w:rsidRPr="00A23E16" w:rsidRDefault="000E4B30" w:rsidP="000E4B30">
      <w:pPr>
        <w:jc w:val="both"/>
        <w:rPr>
          <w:b/>
          <w:i/>
          <w:color w:val="2E74B5" w:themeColor="accent1" w:themeShade="BF"/>
          <w:sz w:val="22"/>
          <w:szCs w:val="22"/>
        </w:rPr>
      </w:pPr>
      <w:r w:rsidRPr="00A23E16">
        <w:rPr>
          <w:b/>
          <w:i/>
          <w:color w:val="2E74B5" w:themeColor="accent1" w:themeShade="BF"/>
          <w:sz w:val="22"/>
          <w:szCs w:val="22"/>
        </w:rPr>
        <w:t>HACIENDA PÚBLICA/PATRIMONIO CONTRIBUIDO $</w:t>
      </w:r>
      <w:r w:rsidRPr="00DF228F">
        <w:t xml:space="preserve"> </w:t>
      </w:r>
      <w:r w:rsidRPr="00DF228F">
        <w:rPr>
          <w:b/>
          <w:i/>
          <w:color w:val="2E74B5" w:themeColor="accent1" w:themeShade="BF"/>
          <w:sz w:val="22"/>
          <w:szCs w:val="22"/>
        </w:rPr>
        <w:t>41</w:t>
      </w:r>
      <w:r>
        <w:rPr>
          <w:b/>
          <w:i/>
          <w:color w:val="2E74B5" w:themeColor="accent1" w:themeShade="BF"/>
          <w:sz w:val="22"/>
          <w:szCs w:val="22"/>
        </w:rPr>
        <w:t>’</w:t>
      </w:r>
      <w:r w:rsidRPr="00DF228F">
        <w:rPr>
          <w:b/>
          <w:i/>
          <w:color w:val="2E74B5" w:themeColor="accent1" w:themeShade="BF"/>
          <w:sz w:val="22"/>
          <w:szCs w:val="22"/>
        </w:rPr>
        <w:t>301</w:t>
      </w:r>
      <w:r>
        <w:rPr>
          <w:b/>
          <w:i/>
          <w:color w:val="2E74B5" w:themeColor="accent1" w:themeShade="BF"/>
          <w:sz w:val="22"/>
          <w:szCs w:val="22"/>
        </w:rPr>
        <w:t>,</w:t>
      </w:r>
      <w:r w:rsidRPr="00DF228F">
        <w:rPr>
          <w:b/>
          <w:i/>
          <w:color w:val="2E74B5" w:themeColor="accent1" w:themeShade="BF"/>
          <w:sz w:val="22"/>
          <w:szCs w:val="22"/>
        </w:rPr>
        <w:t>667.12</w:t>
      </w:r>
    </w:p>
    <w:p w:rsidR="000E4B30" w:rsidRPr="00A23E16" w:rsidRDefault="000E4B30" w:rsidP="000E4B30">
      <w:pPr>
        <w:jc w:val="both"/>
        <w:rPr>
          <w:b/>
          <w:i/>
          <w:color w:val="2E74B5" w:themeColor="accent1" w:themeShade="BF"/>
          <w:sz w:val="22"/>
          <w:szCs w:val="22"/>
        </w:rPr>
      </w:pPr>
    </w:p>
    <w:p w:rsidR="000E4B30" w:rsidRPr="00A23E16" w:rsidRDefault="000E4B30" w:rsidP="000E4B30">
      <w:pPr>
        <w:rPr>
          <w:b/>
          <w:i/>
          <w:color w:val="2E74B5" w:themeColor="accent1" w:themeShade="BF"/>
          <w:sz w:val="22"/>
          <w:szCs w:val="22"/>
        </w:rPr>
      </w:pPr>
      <w:r w:rsidRPr="00A23E16">
        <w:rPr>
          <w:b/>
          <w:i/>
          <w:color w:val="2E74B5" w:themeColor="accent1" w:themeShade="BF"/>
          <w:sz w:val="22"/>
          <w:szCs w:val="22"/>
        </w:rPr>
        <w:t>HACIENDA PÚBLICA/PATRIMONIO GENERADO $</w:t>
      </w:r>
      <w:r w:rsidRPr="00A23E16">
        <w:rPr>
          <w:color w:val="2E74B5" w:themeColor="accent1" w:themeShade="BF"/>
          <w:sz w:val="22"/>
          <w:szCs w:val="22"/>
        </w:rPr>
        <w:t xml:space="preserve"> </w:t>
      </w:r>
      <w:r w:rsidRPr="00D74E52">
        <w:rPr>
          <w:b/>
          <w:i/>
          <w:color w:val="2E74B5" w:themeColor="accent1" w:themeShade="BF"/>
          <w:sz w:val="22"/>
          <w:szCs w:val="22"/>
        </w:rPr>
        <w:t>98</w:t>
      </w:r>
      <w:r>
        <w:rPr>
          <w:b/>
          <w:i/>
          <w:color w:val="2E74B5" w:themeColor="accent1" w:themeShade="BF"/>
          <w:sz w:val="22"/>
          <w:szCs w:val="22"/>
        </w:rPr>
        <w:t>’</w:t>
      </w:r>
      <w:r w:rsidRPr="00D74E52">
        <w:rPr>
          <w:b/>
          <w:i/>
          <w:color w:val="2E74B5" w:themeColor="accent1" w:themeShade="BF"/>
          <w:sz w:val="22"/>
          <w:szCs w:val="22"/>
        </w:rPr>
        <w:t>402</w:t>
      </w:r>
      <w:r>
        <w:rPr>
          <w:b/>
          <w:i/>
          <w:color w:val="2E74B5" w:themeColor="accent1" w:themeShade="BF"/>
          <w:sz w:val="22"/>
          <w:szCs w:val="22"/>
        </w:rPr>
        <w:t>,32</w:t>
      </w:r>
      <w:r w:rsidRPr="00D74E52">
        <w:rPr>
          <w:b/>
          <w:i/>
          <w:color w:val="2E74B5" w:themeColor="accent1" w:themeShade="BF"/>
          <w:sz w:val="22"/>
          <w:szCs w:val="22"/>
        </w:rPr>
        <w:t>1.</w:t>
      </w:r>
      <w:r>
        <w:rPr>
          <w:b/>
          <w:i/>
          <w:color w:val="2E74B5" w:themeColor="accent1" w:themeShade="BF"/>
          <w:sz w:val="22"/>
          <w:szCs w:val="22"/>
        </w:rPr>
        <w:t>68</w:t>
      </w:r>
    </w:p>
    <w:p w:rsidR="000E4B30" w:rsidRPr="00A23E16" w:rsidRDefault="000E4B30" w:rsidP="000E4B30">
      <w:pPr>
        <w:ind w:left="708" w:firstLine="708"/>
        <w:rPr>
          <w:b/>
          <w:i/>
          <w:color w:val="2E74B5" w:themeColor="accent1" w:themeShade="BF"/>
          <w:sz w:val="22"/>
          <w:szCs w:val="22"/>
        </w:rPr>
      </w:pPr>
    </w:p>
    <w:p w:rsidR="000E4B30" w:rsidRPr="00A23E16" w:rsidRDefault="000E4B30" w:rsidP="000E4B30">
      <w:pPr>
        <w:rPr>
          <w:b/>
          <w:i/>
          <w:color w:val="2E74B5" w:themeColor="accent1" w:themeShade="BF"/>
          <w:sz w:val="22"/>
          <w:szCs w:val="22"/>
        </w:rPr>
      </w:pPr>
      <w:r w:rsidRPr="00A23E16">
        <w:rPr>
          <w:b/>
          <w:i/>
          <w:color w:val="2E74B5" w:themeColor="accent1" w:themeShade="BF"/>
          <w:sz w:val="22"/>
          <w:szCs w:val="22"/>
        </w:rPr>
        <w:t>RESULTADOS DEL EJERCICIO (AHORRO/DESAHORRO) $0.00</w:t>
      </w:r>
    </w:p>
    <w:p w:rsidR="000E4B30" w:rsidRPr="00A23E16" w:rsidRDefault="000E4B30" w:rsidP="000E4B30">
      <w:pPr>
        <w:ind w:left="708" w:firstLine="708"/>
        <w:rPr>
          <w:b/>
          <w:i/>
          <w:color w:val="2E74B5" w:themeColor="accent1" w:themeShade="BF"/>
          <w:sz w:val="22"/>
          <w:szCs w:val="22"/>
        </w:rPr>
      </w:pPr>
    </w:p>
    <w:p w:rsidR="000E4B30" w:rsidRPr="00A23E16" w:rsidRDefault="000E4B30" w:rsidP="000E4B30">
      <w:pPr>
        <w:rPr>
          <w:b/>
          <w:i/>
          <w:color w:val="2E74B5" w:themeColor="accent1" w:themeShade="BF"/>
          <w:sz w:val="22"/>
          <w:szCs w:val="22"/>
        </w:rPr>
      </w:pPr>
      <w:r w:rsidRPr="00A23E16">
        <w:rPr>
          <w:b/>
          <w:i/>
          <w:color w:val="2E74B5" w:themeColor="accent1" w:themeShade="BF"/>
          <w:sz w:val="22"/>
          <w:szCs w:val="22"/>
        </w:rPr>
        <w:t>RESULTADOS DE EJERCICIOS ANTERIORES $</w:t>
      </w:r>
      <w:r w:rsidRPr="00A23E16">
        <w:rPr>
          <w:color w:val="2E74B5" w:themeColor="accent1" w:themeShade="BF"/>
          <w:sz w:val="22"/>
          <w:szCs w:val="22"/>
        </w:rPr>
        <w:t xml:space="preserve"> </w:t>
      </w:r>
      <w:r w:rsidRPr="006F5736">
        <w:rPr>
          <w:b/>
          <w:i/>
          <w:color w:val="2E74B5" w:themeColor="accent1" w:themeShade="BF"/>
          <w:sz w:val="22"/>
          <w:szCs w:val="22"/>
        </w:rPr>
        <w:t>98</w:t>
      </w:r>
      <w:r>
        <w:rPr>
          <w:b/>
          <w:i/>
          <w:color w:val="2E74B5" w:themeColor="accent1" w:themeShade="BF"/>
          <w:sz w:val="22"/>
          <w:szCs w:val="22"/>
        </w:rPr>
        <w:t>’</w:t>
      </w:r>
      <w:r w:rsidRPr="006F5736">
        <w:rPr>
          <w:b/>
          <w:i/>
          <w:color w:val="2E74B5" w:themeColor="accent1" w:themeShade="BF"/>
          <w:sz w:val="22"/>
          <w:szCs w:val="22"/>
        </w:rPr>
        <w:t>703</w:t>
      </w:r>
      <w:r>
        <w:rPr>
          <w:b/>
          <w:i/>
          <w:color w:val="2E74B5" w:themeColor="accent1" w:themeShade="BF"/>
          <w:sz w:val="22"/>
          <w:szCs w:val="22"/>
        </w:rPr>
        <w:t>,</w:t>
      </w:r>
      <w:r w:rsidRPr="006F5736">
        <w:rPr>
          <w:b/>
          <w:i/>
          <w:color w:val="2E74B5" w:themeColor="accent1" w:themeShade="BF"/>
          <w:sz w:val="22"/>
          <w:szCs w:val="22"/>
        </w:rPr>
        <w:t>907.74</w:t>
      </w:r>
    </w:p>
    <w:p w:rsidR="000E4B30" w:rsidRPr="00A23E16" w:rsidRDefault="000E4B30" w:rsidP="000E4B30">
      <w:pPr>
        <w:rPr>
          <w:b/>
          <w:i/>
          <w:color w:val="2E74B5" w:themeColor="accent1" w:themeShade="BF"/>
          <w:sz w:val="22"/>
          <w:szCs w:val="22"/>
        </w:rPr>
      </w:pPr>
    </w:p>
    <w:p w:rsidR="000E4B30" w:rsidRPr="00A23E16" w:rsidRDefault="000E4B30" w:rsidP="000E4B30">
      <w:pPr>
        <w:rPr>
          <w:color w:val="2E74B5" w:themeColor="accent1" w:themeShade="BF"/>
          <w:sz w:val="22"/>
          <w:szCs w:val="22"/>
        </w:rPr>
      </w:pPr>
      <w:r w:rsidRPr="00A23E16">
        <w:rPr>
          <w:b/>
          <w:i/>
          <w:color w:val="2E74B5" w:themeColor="accent1" w:themeShade="BF"/>
          <w:sz w:val="22"/>
          <w:szCs w:val="22"/>
        </w:rPr>
        <w:t>RECTIFICACIONES DE RESULTADOS EJERCICIOS ANTERIORES $</w:t>
      </w:r>
      <w:r w:rsidRPr="00A23E16">
        <w:rPr>
          <w:color w:val="2E74B5" w:themeColor="accent1" w:themeShade="BF"/>
          <w:sz w:val="22"/>
          <w:szCs w:val="22"/>
        </w:rPr>
        <w:t xml:space="preserve"> </w:t>
      </w:r>
      <w:r w:rsidRPr="00A23E16">
        <w:rPr>
          <w:b/>
          <w:i/>
          <w:color w:val="2E74B5" w:themeColor="accent1" w:themeShade="BF"/>
          <w:sz w:val="22"/>
          <w:szCs w:val="22"/>
        </w:rPr>
        <w:t>-</w:t>
      </w:r>
      <w:r>
        <w:rPr>
          <w:b/>
          <w:i/>
          <w:color w:val="2E74B5" w:themeColor="accent1" w:themeShade="BF"/>
          <w:sz w:val="22"/>
          <w:szCs w:val="22"/>
        </w:rPr>
        <w:t>301</w:t>
      </w:r>
      <w:r w:rsidRPr="00A23E16">
        <w:rPr>
          <w:b/>
          <w:i/>
          <w:color w:val="2E74B5" w:themeColor="accent1" w:themeShade="BF"/>
          <w:sz w:val="22"/>
          <w:szCs w:val="22"/>
        </w:rPr>
        <w:t>,</w:t>
      </w:r>
      <w:r>
        <w:rPr>
          <w:b/>
          <w:i/>
          <w:color w:val="2E74B5" w:themeColor="accent1" w:themeShade="BF"/>
          <w:sz w:val="22"/>
          <w:szCs w:val="22"/>
        </w:rPr>
        <w:t>586</w:t>
      </w:r>
      <w:r w:rsidRPr="00A23E16">
        <w:rPr>
          <w:b/>
          <w:i/>
          <w:color w:val="2E74B5" w:themeColor="accent1" w:themeShade="BF"/>
          <w:sz w:val="22"/>
          <w:szCs w:val="22"/>
        </w:rPr>
        <w:t>.</w:t>
      </w:r>
      <w:r>
        <w:rPr>
          <w:b/>
          <w:i/>
          <w:color w:val="2E74B5" w:themeColor="accent1" w:themeShade="BF"/>
          <w:sz w:val="22"/>
          <w:szCs w:val="22"/>
        </w:rPr>
        <w:t>0</w:t>
      </w:r>
      <w:r w:rsidRPr="00A23E16">
        <w:rPr>
          <w:b/>
          <w:i/>
          <w:color w:val="2E74B5" w:themeColor="accent1" w:themeShade="BF"/>
          <w:sz w:val="22"/>
          <w:szCs w:val="22"/>
        </w:rPr>
        <w:t>6</w:t>
      </w:r>
    </w:p>
    <w:p w:rsidR="000E4B30" w:rsidRDefault="000E4B30" w:rsidP="000E4B30">
      <w:pPr>
        <w:tabs>
          <w:tab w:val="left" w:pos="0"/>
        </w:tabs>
        <w:jc w:val="both"/>
        <w:rPr>
          <w:sz w:val="22"/>
          <w:szCs w:val="22"/>
        </w:rPr>
      </w:pPr>
    </w:p>
    <w:p w:rsidR="000E4B30" w:rsidRDefault="000E4B30" w:rsidP="000E4B30">
      <w:pPr>
        <w:tabs>
          <w:tab w:val="left" w:pos="0"/>
        </w:tabs>
        <w:jc w:val="both"/>
        <w:rPr>
          <w:sz w:val="22"/>
          <w:szCs w:val="22"/>
        </w:rPr>
      </w:pPr>
    </w:p>
    <w:p w:rsidR="000E4B30" w:rsidRDefault="000E4B30" w:rsidP="000E4B30">
      <w:pPr>
        <w:tabs>
          <w:tab w:val="left" w:pos="0"/>
        </w:tabs>
        <w:jc w:val="both"/>
        <w:rPr>
          <w:sz w:val="22"/>
          <w:szCs w:val="22"/>
        </w:rPr>
      </w:pPr>
    </w:p>
    <w:p w:rsidR="000E4B30" w:rsidRDefault="000E4B30" w:rsidP="000E4B30">
      <w:pPr>
        <w:tabs>
          <w:tab w:val="left" w:pos="0"/>
        </w:tabs>
        <w:jc w:val="both"/>
        <w:rPr>
          <w:sz w:val="22"/>
          <w:szCs w:val="22"/>
        </w:rPr>
      </w:pPr>
    </w:p>
    <w:p w:rsidR="000E4B30" w:rsidRPr="00FF3DE2" w:rsidRDefault="000E4B30" w:rsidP="000E4B30">
      <w:pPr>
        <w:tabs>
          <w:tab w:val="left" w:pos="0"/>
        </w:tabs>
        <w:jc w:val="both"/>
        <w:rPr>
          <w:sz w:val="22"/>
          <w:szCs w:val="22"/>
        </w:rPr>
      </w:pPr>
      <w:r>
        <w:rPr>
          <w:sz w:val="22"/>
          <w:szCs w:val="22"/>
        </w:rPr>
        <w:t xml:space="preserve">Derivado de la depreciación que se genera mes con mes, así como a las políticas de que la Universidad no puede quedarse con recurso de otros ejercicios fiscales, el flujo operacional se verá disminuido. </w:t>
      </w:r>
    </w:p>
    <w:p w:rsidR="000E4B30" w:rsidRPr="00FF3DE2" w:rsidRDefault="000E4B30" w:rsidP="000E4B30">
      <w:pPr>
        <w:tabs>
          <w:tab w:val="left" w:pos="0"/>
        </w:tabs>
        <w:jc w:val="both"/>
        <w:rPr>
          <w:sz w:val="22"/>
          <w:szCs w:val="22"/>
        </w:rPr>
      </w:pPr>
    </w:p>
    <w:tbl>
      <w:tblPr>
        <w:tblStyle w:val="Tablaconcuadrcula1"/>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0E4B30" w:rsidRPr="00FF3DE2" w:rsidTr="00F34562">
        <w:trPr>
          <w:jc w:val="center"/>
        </w:trPr>
        <w:tc>
          <w:tcPr>
            <w:tcW w:w="4678" w:type="dxa"/>
          </w:tcPr>
          <w:p w:rsidR="000E4B30" w:rsidRPr="00FF3DE2" w:rsidRDefault="000E4B30" w:rsidP="00F34562">
            <w:pPr>
              <w:jc w:val="center"/>
              <w:rPr>
                <w:rFonts w:eastAsiaTheme="minorHAnsi"/>
                <w:sz w:val="20"/>
                <w:szCs w:val="20"/>
                <w:lang w:eastAsia="en-US"/>
              </w:rPr>
            </w:pPr>
            <w:r w:rsidRPr="00FF3DE2">
              <w:rPr>
                <w:rFonts w:eastAsiaTheme="minorHAnsi"/>
                <w:sz w:val="20"/>
                <w:szCs w:val="20"/>
                <w:lang w:eastAsia="en-US"/>
              </w:rPr>
              <w:t>ELABORÓ</w:t>
            </w:r>
          </w:p>
        </w:tc>
        <w:tc>
          <w:tcPr>
            <w:tcW w:w="4678" w:type="dxa"/>
          </w:tcPr>
          <w:p w:rsidR="000E4B30" w:rsidRPr="00FF3DE2" w:rsidRDefault="000E4B30" w:rsidP="00F34562">
            <w:pPr>
              <w:jc w:val="center"/>
              <w:rPr>
                <w:rFonts w:eastAsiaTheme="minorHAnsi"/>
                <w:sz w:val="20"/>
                <w:szCs w:val="20"/>
                <w:lang w:eastAsia="en-US"/>
              </w:rPr>
            </w:pPr>
            <w:r w:rsidRPr="00FF3DE2">
              <w:rPr>
                <w:rFonts w:eastAsiaTheme="minorHAnsi"/>
                <w:sz w:val="20"/>
                <w:szCs w:val="20"/>
                <w:lang w:eastAsia="en-US"/>
              </w:rPr>
              <w:t>REVISÓ</w:t>
            </w:r>
          </w:p>
          <w:p w:rsidR="000E4B30" w:rsidRPr="00FF3DE2" w:rsidRDefault="000E4B30" w:rsidP="00F34562">
            <w:pPr>
              <w:jc w:val="center"/>
              <w:rPr>
                <w:rFonts w:eastAsiaTheme="minorHAnsi"/>
                <w:sz w:val="20"/>
                <w:szCs w:val="20"/>
                <w:lang w:eastAsia="en-US"/>
              </w:rPr>
            </w:pPr>
          </w:p>
          <w:p w:rsidR="000E4B30" w:rsidRPr="00FF3DE2" w:rsidRDefault="000E4B30" w:rsidP="00F34562">
            <w:pPr>
              <w:jc w:val="center"/>
              <w:rPr>
                <w:rFonts w:eastAsiaTheme="minorHAnsi"/>
                <w:sz w:val="20"/>
                <w:szCs w:val="20"/>
                <w:lang w:eastAsia="en-US"/>
              </w:rPr>
            </w:pPr>
          </w:p>
          <w:p w:rsidR="000E4B30" w:rsidRPr="00FF3DE2" w:rsidRDefault="000E4B30" w:rsidP="00F34562">
            <w:pPr>
              <w:jc w:val="center"/>
              <w:rPr>
                <w:rFonts w:eastAsiaTheme="minorHAnsi"/>
                <w:sz w:val="20"/>
                <w:szCs w:val="20"/>
                <w:lang w:eastAsia="en-US"/>
              </w:rPr>
            </w:pPr>
          </w:p>
          <w:p w:rsidR="000E4B30" w:rsidRPr="00FF3DE2" w:rsidRDefault="000E4B30" w:rsidP="00F34562">
            <w:pPr>
              <w:jc w:val="center"/>
              <w:rPr>
                <w:rFonts w:ascii="Arial" w:hAnsi="Arial" w:cs="Arial"/>
                <w:sz w:val="20"/>
                <w:szCs w:val="20"/>
              </w:rPr>
            </w:pPr>
          </w:p>
        </w:tc>
      </w:tr>
      <w:tr w:rsidR="000E4B30" w:rsidRPr="00FF3DE2" w:rsidTr="00F34562">
        <w:trPr>
          <w:jc w:val="center"/>
        </w:trPr>
        <w:tc>
          <w:tcPr>
            <w:tcW w:w="4678" w:type="dxa"/>
          </w:tcPr>
          <w:p w:rsidR="000E4B30" w:rsidRPr="00FF3DE2" w:rsidRDefault="000E4B30" w:rsidP="00F34562">
            <w:pPr>
              <w:jc w:val="center"/>
              <w:rPr>
                <w:sz w:val="20"/>
                <w:szCs w:val="20"/>
              </w:rPr>
            </w:pPr>
            <w:r w:rsidRPr="00FF3DE2">
              <w:rPr>
                <w:sz w:val="20"/>
                <w:szCs w:val="20"/>
              </w:rPr>
              <w:t>LIC. MARÍA DE LOS ÁNGELES VILLA PAREDES</w:t>
            </w:r>
          </w:p>
          <w:p w:rsidR="000E4B30" w:rsidRPr="00FF3DE2" w:rsidRDefault="000E4B30" w:rsidP="00F34562">
            <w:pPr>
              <w:jc w:val="center"/>
              <w:rPr>
                <w:b/>
                <w:sz w:val="20"/>
                <w:szCs w:val="20"/>
              </w:rPr>
            </w:pPr>
            <w:r w:rsidRPr="00FF3DE2">
              <w:rPr>
                <w:b/>
                <w:sz w:val="20"/>
                <w:szCs w:val="20"/>
              </w:rPr>
              <w:t>JEFA DEL DEPTO DE CONTABILIDAD Y FINANZAS</w:t>
            </w:r>
          </w:p>
        </w:tc>
        <w:tc>
          <w:tcPr>
            <w:tcW w:w="4678" w:type="dxa"/>
          </w:tcPr>
          <w:p w:rsidR="000E4B30" w:rsidRPr="00FF3DE2" w:rsidRDefault="000E4B30" w:rsidP="00F34562">
            <w:pPr>
              <w:jc w:val="center"/>
              <w:rPr>
                <w:sz w:val="20"/>
                <w:szCs w:val="20"/>
              </w:rPr>
            </w:pPr>
            <w:r w:rsidRPr="00FF3DE2">
              <w:rPr>
                <w:sz w:val="20"/>
                <w:szCs w:val="20"/>
              </w:rPr>
              <w:t>LIC. ALICIA LIZBETH HERRERA MARTÍNEZ</w:t>
            </w:r>
          </w:p>
          <w:p w:rsidR="000E4B30" w:rsidRPr="00FF3DE2" w:rsidRDefault="000E4B30" w:rsidP="00F34562">
            <w:pPr>
              <w:jc w:val="center"/>
              <w:rPr>
                <w:rFonts w:ascii="Arial" w:hAnsi="Arial" w:cs="Arial"/>
                <w:b/>
                <w:sz w:val="20"/>
                <w:szCs w:val="20"/>
                <w:highlight w:val="yellow"/>
              </w:rPr>
            </w:pPr>
            <w:r w:rsidRPr="00FF3DE2">
              <w:rPr>
                <w:b/>
                <w:sz w:val="20"/>
                <w:szCs w:val="20"/>
              </w:rPr>
              <w:t>SECRETARIA DE ADMINISTRACIÓN</w:t>
            </w:r>
          </w:p>
        </w:tc>
      </w:tr>
    </w:tbl>
    <w:p w:rsidR="000E4B30" w:rsidRPr="009C1F58" w:rsidRDefault="000E4B30" w:rsidP="000E4B30">
      <w:pPr>
        <w:tabs>
          <w:tab w:val="left" w:pos="0"/>
        </w:tabs>
        <w:jc w:val="both"/>
        <w:rPr>
          <w:sz w:val="22"/>
          <w:szCs w:val="23"/>
        </w:rPr>
      </w:pPr>
    </w:p>
    <w:p w:rsidR="000E4B30" w:rsidRPr="009C1F58" w:rsidRDefault="000E4B30" w:rsidP="000E4B30">
      <w:pPr>
        <w:ind w:firstLine="708"/>
        <w:rPr>
          <w:sz w:val="14"/>
          <w:szCs w:val="23"/>
        </w:rPr>
      </w:pPr>
    </w:p>
    <w:p w:rsidR="000E4B30" w:rsidRDefault="000E4B30" w:rsidP="000E4B30">
      <w:pPr>
        <w:jc w:val="center"/>
        <w:rPr>
          <w:sz w:val="14"/>
          <w:szCs w:val="23"/>
        </w:rPr>
      </w:pPr>
      <w:r w:rsidRPr="009C1F58">
        <w:rPr>
          <w:sz w:val="14"/>
          <w:szCs w:val="23"/>
        </w:rPr>
        <w:t>“Bajo protesta de decir verdad declaramos que los Estados Financieros y sus notas, son razonablemente correctos y son responsabilidad del emisor”</w:t>
      </w:r>
    </w:p>
    <w:p w:rsidR="000E4B30" w:rsidRDefault="000E4B30">
      <w:pPr>
        <w:spacing w:after="160" w:line="259" w:lineRule="auto"/>
      </w:pPr>
      <w:r>
        <w:br w:type="page"/>
      </w:r>
    </w:p>
    <w:p w:rsidR="000E4B30" w:rsidRPr="00BF06AD" w:rsidRDefault="000E4B30" w:rsidP="000E4B30">
      <w:pPr>
        <w:pStyle w:val="Prrafodelista"/>
        <w:ind w:left="360"/>
        <w:jc w:val="center"/>
        <w:rPr>
          <w:b/>
          <w:sz w:val="28"/>
          <w:szCs w:val="28"/>
        </w:rPr>
      </w:pPr>
      <w:r w:rsidRPr="00BF06AD">
        <w:rPr>
          <w:b/>
          <w:sz w:val="28"/>
          <w:szCs w:val="28"/>
        </w:rPr>
        <w:lastRenderedPageBreak/>
        <w:t xml:space="preserve">UNIVERSIDAD DE LA CIÉNEGA </w:t>
      </w:r>
    </w:p>
    <w:p w:rsidR="000E4B30" w:rsidRPr="00BF06AD" w:rsidRDefault="000E4B30" w:rsidP="000E4B30">
      <w:pPr>
        <w:pStyle w:val="Prrafodelista"/>
        <w:ind w:left="360"/>
        <w:jc w:val="center"/>
        <w:rPr>
          <w:b/>
          <w:sz w:val="28"/>
          <w:szCs w:val="28"/>
        </w:rPr>
      </w:pPr>
      <w:r w:rsidRPr="00BF06AD">
        <w:rPr>
          <w:b/>
          <w:sz w:val="28"/>
          <w:szCs w:val="28"/>
        </w:rPr>
        <w:t>DEL ESTADO DE MICHOACÁN DE OCAMPO</w:t>
      </w:r>
    </w:p>
    <w:p w:rsidR="000E4B30" w:rsidRDefault="000E4B30" w:rsidP="000E4B30">
      <w:pPr>
        <w:pStyle w:val="Prrafodelista"/>
        <w:ind w:left="360"/>
        <w:rPr>
          <w:b/>
        </w:rPr>
      </w:pPr>
    </w:p>
    <w:p w:rsidR="000E4B30" w:rsidRPr="00484588" w:rsidRDefault="000E4B30" w:rsidP="000E4B30">
      <w:pPr>
        <w:pStyle w:val="Prrafodelista"/>
        <w:numPr>
          <w:ilvl w:val="0"/>
          <w:numId w:val="9"/>
        </w:numPr>
        <w:rPr>
          <w:b/>
        </w:rPr>
      </w:pPr>
      <w:r w:rsidRPr="00484588">
        <w:rPr>
          <w:b/>
        </w:rPr>
        <w:t>NOTAS DE MEMORIA (CUENTAS DE ORDEN)</w:t>
      </w:r>
      <w:r>
        <w:rPr>
          <w:b/>
        </w:rPr>
        <w:t xml:space="preserve"> DICIEMBRE 2025</w:t>
      </w:r>
    </w:p>
    <w:p w:rsidR="000E4B30" w:rsidRDefault="000E4B30" w:rsidP="000E4B30">
      <w:pPr>
        <w:rPr>
          <w:b/>
        </w:rPr>
      </w:pPr>
    </w:p>
    <w:p w:rsidR="000E4B30" w:rsidRPr="00DE13AD" w:rsidRDefault="000E4B30" w:rsidP="000E4B30">
      <w:r w:rsidRPr="00DE13AD">
        <w:t>(Cifras expresadas en pesos</w:t>
      </w:r>
      <w:r>
        <w:t xml:space="preserve"> mexicanos MXN</w:t>
      </w:r>
      <w:r w:rsidRPr="00DE13AD">
        <w:t>)</w:t>
      </w:r>
    </w:p>
    <w:p w:rsidR="000E4B30" w:rsidRDefault="000E4B30" w:rsidP="000E4B30">
      <w:pPr>
        <w:jc w:val="center"/>
        <w:rPr>
          <w:b/>
        </w:rPr>
      </w:pPr>
    </w:p>
    <w:p w:rsidR="000E4B30" w:rsidRPr="00B842DD" w:rsidRDefault="000E4B30" w:rsidP="000E4B30">
      <w:pPr>
        <w:rPr>
          <w:b/>
          <w:i/>
          <w:color w:val="2E74B5" w:themeColor="accent1" w:themeShade="BF"/>
          <w:sz w:val="23"/>
          <w:szCs w:val="23"/>
        </w:rPr>
      </w:pPr>
      <w:r w:rsidRPr="00B842DD">
        <w:rPr>
          <w:b/>
          <w:i/>
          <w:color w:val="2E74B5" w:themeColor="accent1" w:themeShade="BF"/>
          <w:sz w:val="23"/>
          <w:szCs w:val="23"/>
        </w:rPr>
        <w:t>Cuentas de Orden Contables y Presupuestarias</w:t>
      </w:r>
    </w:p>
    <w:p w:rsidR="000E4B30" w:rsidRPr="00B842DD" w:rsidRDefault="000E4B30" w:rsidP="000E4B30">
      <w:pPr>
        <w:jc w:val="center"/>
        <w:rPr>
          <w:b/>
          <w:i/>
          <w:color w:val="2E74B5" w:themeColor="accent1" w:themeShade="BF"/>
          <w:sz w:val="23"/>
          <w:szCs w:val="23"/>
        </w:rPr>
      </w:pPr>
    </w:p>
    <w:p w:rsidR="000E4B30" w:rsidRPr="00B842DD" w:rsidRDefault="000E4B30" w:rsidP="000E4B30">
      <w:pPr>
        <w:pStyle w:val="Prrafodelista"/>
        <w:numPr>
          <w:ilvl w:val="0"/>
          <w:numId w:val="20"/>
        </w:numPr>
        <w:rPr>
          <w:b/>
          <w:i/>
          <w:color w:val="2E74B5" w:themeColor="accent1" w:themeShade="BF"/>
          <w:sz w:val="23"/>
          <w:szCs w:val="23"/>
        </w:rPr>
      </w:pPr>
      <w:r w:rsidRPr="00B842DD">
        <w:rPr>
          <w:b/>
          <w:i/>
          <w:color w:val="2E74B5" w:themeColor="accent1" w:themeShade="BF"/>
          <w:sz w:val="23"/>
          <w:szCs w:val="23"/>
        </w:rPr>
        <w:t>Contables $0.00</w:t>
      </w:r>
    </w:p>
    <w:p w:rsidR="000E4B30" w:rsidRPr="00B842DD" w:rsidRDefault="000E4B30" w:rsidP="000E4B30">
      <w:pPr>
        <w:rPr>
          <w:b/>
          <w:i/>
          <w:color w:val="2E74B5" w:themeColor="accent1" w:themeShade="BF"/>
          <w:sz w:val="23"/>
          <w:szCs w:val="23"/>
        </w:rPr>
      </w:pPr>
    </w:p>
    <w:p w:rsidR="000E4B30" w:rsidRPr="00B842DD" w:rsidRDefault="000E4B30" w:rsidP="000E4B30">
      <w:pPr>
        <w:pStyle w:val="Prrafodelista"/>
        <w:numPr>
          <w:ilvl w:val="0"/>
          <w:numId w:val="20"/>
        </w:numPr>
        <w:rPr>
          <w:b/>
          <w:i/>
          <w:color w:val="2E74B5" w:themeColor="accent1" w:themeShade="BF"/>
          <w:sz w:val="23"/>
          <w:szCs w:val="23"/>
        </w:rPr>
      </w:pPr>
      <w:r w:rsidRPr="00B842DD">
        <w:rPr>
          <w:b/>
          <w:i/>
          <w:color w:val="2E74B5" w:themeColor="accent1" w:themeShade="BF"/>
          <w:sz w:val="23"/>
          <w:szCs w:val="23"/>
        </w:rPr>
        <w:t xml:space="preserve">Presupuestarias al </w:t>
      </w:r>
      <w:r>
        <w:rPr>
          <w:b/>
          <w:i/>
          <w:color w:val="2E74B5" w:themeColor="accent1" w:themeShade="BF"/>
          <w:sz w:val="23"/>
          <w:szCs w:val="23"/>
        </w:rPr>
        <w:t>31</w:t>
      </w:r>
      <w:r w:rsidRPr="00B842DD">
        <w:rPr>
          <w:b/>
          <w:i/>
          <w:color w:val="2E74B5" w:themeColor="accent1" w:themeShade="BF"/>
          <w:sz w:val="23"/>
          <w:szCs w:val="23"/>
        </w:rPr>
        <w:t xml:space="preserve"> de </w:t>
      </w:r>
      <w:r>
        <w:rPr>
          <w:b/>
          <w:i/>
          <w:color w:val="2E74B5" w:themeColor="accent1" w:themeShade="BF"/>
          <w:sz w:val="23"/>
          <w:szCs w:val="23"/>
        </w:rPr>
        <w:t>diciembre</w:t>
      </w:r>
      <w:r w:rsidRPr="00B842DD">
        <w:rPr>
          <w:b/>
          <w:i/>
          <w:color w:val="2E74B5" w:themeColor="accent1" w:themeShade="BF"/>
          <w:sz w:val="23"/>
          <w:szCs w:val="23"/>
        </w:rPr>
        <w:t xml:space="preserve"> de 2025:</w:t>
      </w:r>
    </w:p>
    <w:p w:rsidR="000E4B30" w:rsidRPr="00B842DD" w:rsidRDefault="000E4B30" w:rsidP="000E4B30">
      <w:pPr>
        <w:rPr>
          <w:b/>
          <w:i/>
          <w:color w:val="2E74B5" w:themeColor="accent1" w:themeShade="BF"/>
          <w:sz w:val="23"/>
          <w:szCs w:val="23"/>
        </w:rPr>
      </w:pPr>
    </w:p>
    <w:p w:rsidR="000E4B30" w:rsidRPr="00B842DD" w:rsidRDefault="000E4B30" w:rsidP="000E4B30">
      <w:pPr>
        <w:pStyle w:val="Prrafodelista"/>
        <w:numPr>
          <w:ilvl w:val="1"/>
          <w:numId w:val="20"/>
        </w:numPr>
        <w:rPr>
          <w:b/>
          <w:i/>
          <w:color w:val="2E74B5" w:themeColor="accent1" w:themeShade="BF"/>
          <w:sz w:val="23"/>
          <w:szCs w:val="23"/>
        </w:rPr>
      </w:pPr>
      <w:r w:rsidRPr="00B842DD">
        <w:rPr>
          <w:b/>
          <w:i/>
          <w:color w:val="2E74B5" w:themeColor="accent1" w:themeShade="BF"/>
          <w:sz w:val="23"/>
          <w:szCs w:val="23"/>
        </w:rPr>
        <w:t>LEY DE INGRESOS</w:t>
      </w:r>
    </w:p>
    <w:p w:rsidR="000E4B30" w:rsidRDefault="000E4B30" w:rsidP="000E4B30">
      <w:pPr>
        <w:pStyle w:val="Prrafodelista"/>
        <w:rPr>
          <w:b/>
          <w:i/>
          <w:color w:val="0070C0"/>
          <w:sz w:val="23"/>
          <w:szCs w:val="23"/>
        </w:rPr>
      </w:pPr>
    </w:p>
    <w:tbl>
      <w:tblPr>
        <w:tblW w:w="4848" w:type="dxa"/>
        <w:jc w:val="center"/>
        <w:tblCellMar>
          <w:left w:w="70" w:type="dxa"/>
          <w:right w:w="70" w:type="dxa"/>
        </w:tblCellMar>
        <w:tblLook w:val="04A0" w:firstRow="1" w:lastRow="0" w:firstColumn="1" w:lastColumn="0" w:noHBand="0" w:noVBand="1"/>
      </w:tblPr>
      <w:tblGrid>
        <w:gridCol w:w="3397"/>
        <w:gridCol w:w="1451"/>
      </w:tblGrid>
      <w:tr w:rsidR="000E4B30" w:rsidRPr="003832E9" w:rsidTr="00F34562">
        <w:trPr>
          <w:trHeight w:val="21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Ley de Ingresos Estimada</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 </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Propios</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$3,946,060.00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Federal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$45,463,715.00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Estatal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$48,674,730.00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 </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b/>
                <w:bCs/>
                <w:color w:val="000000"/>
                <w:sz w:val="16"/>
                <w:szCs w:val="16"/>
                <w:lang w:eastAsia="es-MX"/>
              </w:rPr>
            </w:pPr>
            <w:r w:rsidRPr="003832E9">
              <w:rPr>
                <w:rFonts w:ascii="Calibri" w:eastAsia="Times New Roman" w:hAnsi="Calibri" w:cs="Times New Roman"/>
                <w:b/>
                <w:bCs/>
                <w:color w:val="000000"/>
                <w:sz w:val="16"/>
                <w:szCs w:val="16"/>
                <w:lang w:eastAsia="es-MX"/>
              </w:rPr>
              <w:t>$98,084,505.00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Ley de Ingresos por Ejecutar</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b/>
                <w:bCs/>
                <w:color w:val="000000"/>
                <w:sz w:val="16"/>
                <w:szCs w:val="16"/>
                <w:lang w:eastAsia="es-MX"/>
              </w:rPr>
            </w:pPr>
            <w:r w:rsidRPr="003832E9">
              <w:rPr>
                <w:rFonts w:ascii="Calibri" w:eastAsia="Times New Roman" w:hAnsi="Calibri" w:cs="Times New Roman"/>
                <w:b/>
                <w:bCs/>
                <w:color w:val="000000"/>
                <w:sz w:val="16"/>
                <w:szCs w:val="16"/>
                <w:lang w:eastAsia="es-MX"/>
              </w:rPr>
              <w:t> </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Propios</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$2,325,068.17</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Federal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Estatal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 </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b/>
                <w:bCs/>
                <w:color w:val="000000"/>
                <w:sz w:val="16"/>
                <w:szCs w:val="16"/>
                <w:lang w:eastAsia="es-MX"/>
              </w:rPr>
            </w:pPr>
            <w:r w:rsidRPr="003832E9">
              <w:rPr>
                <w:rFonts w:ascii="Calibri" w:eastAsia="Times New Roman" w:hAnsi="Calibri" w:cs="Times New Roman"/>
                <w:b/>
                <w:bCs/>
                <w:color w:val="000000"/>
                <w:sz w:val="16"/>
                <w:szCs w:val="16"/>
                <w:lang w:eastAsia="es-MX"/>
              </w:rPr>
              <w:t>$2,325,068.17</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Modificaciones a la Ley de Ingresos Estimada</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b/>
                <w:bCs/>
                <w:color w:val="000000"/>
                <w:sz w:val="16"/>
                <w:szCs w:val="16"/>
                <w:lang w:eastAsia="es-MX"/>
              </w:rPr>
            </w:pPr>
            <w:r w:rsidRPr="003832E9">
              <w:rPr>
                <w:rFonts w:ascii="Calibri" w:eastAsia="Times New Roman" w:hAnsi="Calibri" w:cs="Times New Roman"/>
                <w:b/>
                <w:bCs/>
                <w:color w:val="000000"/>
                <w:sz w:val="16"/>
                <w:szCs w:val="16"/>
                <w:lang w:eastAsia="es-MX"/>
              </w:rPr>
              <w:t> </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Propios</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$10,815,511.98</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Federal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Estatal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SECIHTI PDLL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$270,000.00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ICTI DELFIN 2025</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$134,800.00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PRODEP 2025</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$26,247.00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SECIHTI OERB</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$200,000.00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 </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b/>
                <w:bCs/>
                <w:color w:val="000000"/>
                <w:sz w:val="16"/>
                <w:szCs w:val="16"/>
                <w:lang w:eastAsia="es-MX"/>
              </w:rPr>
            </w:pPr>
            <w:r w:rsidRPr="003832E9">
              <w:rPr>
                <w:rFonts w:ascii="Calibri" w:eastAsia="Times New Roman" w:hAnsi="Calibri" w:cs="Times New Roman"/>
                <w:b/>
                <w:bCs/>
                <w:color w:val="000000"/>
                <w:sz w:val="16"/>
                <w:szCs w:val="16"/>
                <w:lang w:eastAsia="es-MX"/>
              </w:rPr>
              <w:t>$11,446,558.98</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Ley de Ingresos Devengada</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 </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Propios</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$12,436,503.81</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Federal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$45,463,715.00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Estatal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$48,674,730.00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SECIHTI PDLL</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$270,000.00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ICTI DELFIN 2025</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$134,800.00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PRODEP 2025</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$26,247.00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SECIHTI OERB</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$200,000.00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 </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b/>
                <w:bCs/>
                <w:color w:val="000000"/>
                <w:sz w:val="16"/>
                <w:szCs w:val="16"/>
                <w:lang w:eastAsia="es-MX"/>
              </w:rPr>
            </w:pPr>
            <w:r w:rsidRPr="003832E9">
              <w:rPr>
                <w:rFonts w:ascii="Calibri" w:eastAsia="Times New Roman" w:hAnsi="Calibri" w:cs="Times New Roman"/>
                <w:b/>
                <w:bCs/>
                <w:color w:val="000000"/>
                <w:sz w:val="16"/>
                <w:szCs w:val="16"/>
                <w:lang w:eastAsia="es-MX"/>
              </w:rPr>
              <w:t>$107,205,995.81</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Ley de Ingresos Recaudada</w:t>
            </w:r>
          </w:p>
        </w:tc>
        <w:tc>
          <w:tcPr>
            <w:tcW w:w="1451" w:type="dxa"/>
            <w:tcBorders>
              <w:top w:val="nil"/>
              <w:left w:val="nil"/>
              <w:bottom w:val="single" w:sz="4" w:space="0" w:color="auto"/>
              <w:right w:val="single" w:sz="4" w:space="0" w:color="auto"/>
            </w:tcBorders>
            <w:shd w:val="clear" w:color="auto" w:fill="auto"/>
            <w:noWrap/>
            <w:vAlign w:val="bottom"/>
            <w:hideMark/>
          </w:tcPr>
          <w:p w:rsidR="000E4B30" w:rsidRPr="003832E9" w:rsidRDefault="000E4B30" w:rsidP="00F34562">
            <w:pPr>
              <w:rPr>
                <w:rFonts w:ascii="Calibri" w:eastAsia="Times New Roman" w:hAnsi="Calibri" w:cs="Times New Roman"/>
                <w:b/>
                <w:bCs/>
                <w:color w:val="000000"/>
                <w:sz w:val="16"/>
                <w:szCs w:val="16"/>
                <w:lang w:eastAsia="es-MX"/>
              </w:rPr>
            </w:pPr>
            <w:r w:rsidRPr="003832E9">
              <w:rPr>
                <w:rFonts w:ascii="Calibri" w:eastAsia="Times New Roman" w:hAnsi="Calibri" w:cs="Times New Roman"/>
                <w:b/>
                <w:bCs/>
                <w:color w:val="000000"/>
                <w:sz w:val="16"/>
                <w:szCs w:val="16"/>
                <w:lang w:eastAsia="es-MX"/>
              </w:rPr>
              <w:t> </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Propios</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$1,580,860.77</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Federal</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$45,463,715.00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Estatal</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$48,674,730.00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SECIHTI PDLL</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$270,000.00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ICTI DELFIN 2025</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$134,800.00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PRODEP 2025</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$26,247.00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SECIHTI OERB</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color w:val="000000"/>
                <w:sz w:val="16"/>
                <w:szCs w:val="16"/>
                <w:lang w:eastAsia="es-MX"/>
              </w:rPr>
            </w:pPr>
            <w:r w:rsidRPr="003832E9">
              <w:rPr>
                <w:rFonts w:ascii="Calibri" w:eastAsia="Times New Roman" w:hAnsi="Calibri" w:cs="Times New Roman"/>
                <w:color w:val="000000"/>
                <w:sz w:val="16"/>
                <w:szCs w:val="16"/>
                <w:lang w:eastAsia="es-MX"/>
              </w:rPr>
              <w:t>$200,000.00</w:t>
            </w:r>
          </w:p>
        </w:tc>
      </w:tr>
      <w:tr w:rsidR="000E4B30" w:rsidRPr="003832E9" w:rsidTr="00F34562">
        <w:trPr>
          <w:trHeight w:val="210"/>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0E4B30" w:rsidRPr="003832E9" w:rsidRDefault="000E4B30" w:rsidP="00F34562">
            <w:pPr>
              <w:jc w:val="center"/>
              <w:rPr>
                <w:rFonts w:ascii="Cambria" w:eastAsia="Times New Roman" w:hAnsi="Cambria" w:cs="Times New Roman"/>
                <w:b/>
                <w:bCs/>
                <w:color w:val="000000"/>
                <w:sz w:val="16"/>
                <w:szCs w:val="16"/>
                <w:lang w:eastAsia="es-MX"/>
              </w:rPr>
            </w:pPr>
            <w:r w:rsidRPr="003832E9">
              <w:rPr>
                <w:rFonts w:ascii="Cambria" w:eastAsia="Times New Roman" w:hAnsi="Cambria" w:cs="Times New Roman"/>
                <w:b/>
                <w:bCs/>
                <w:color w:val="000000"/>
                <w:sz w:val="16"/>
                <w:szCs w:val="16"/>
                <w:lang w:eastAsia="es-MX"/>
              </w:rPr>
              <w:t> </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0E4B30" w:rsidRPr="003832E9" w:rsidRDefault="000E4B30" w:rsidP="00F34562">
            <w:pPr>
              <w:jc w:val="right"/>
              <w:rPr>
                <w:rFonts w:ascii="Calibri" w:eastAsia="Times New Roman" w:hAnsi="Calibri" w:cs="Times New Roman"/>
                <w:b/>
                <w:bCs/>
                <w:color w:val="000000"/>
                <w:sz w:val="16"/>
                <w:szCs w:val="16"/>
                <w:lang w:eastAsia="es-MX"/>
              </w:rPr>
            </w:pPr>
            <w:r w:rsidRPr="003832E9">
              <w:rPr>
                <w:rFonts w:ascii="Calibri" w:eastAsia="Times New Roman" w:hAnsi="Calibri" w:cs="Times New Roman"/>
                <w:b/>
                <w:bCs/>
                <w:color w:val="000000"/>
                <w:sz w:val="16"/>
                <w:szCs w:val="16"/>
                <w:lang w:eastAsia="es-MX"/>
              </w:rPr>
              <w:t>$96,350,352.77</w:t>
            </w:r>
          </w:p>
        </w:tc>
      </w:tr>
    </w:tbl>
    <w:p w:rsidR="000E4B30" w:rsidRDefault="000E4B30" w:rsidP="000E4B30">
      <w:pPr>
        <w:pStyle w:val="Prrafodelista"/>
        <w:rPr>
          <w:b/>
          <w:i/>
          <w:color w:val="0070C0"/>
          <w:sz w:val="23"/>
          <w:szCs w:val="23"/>
        </w:rPr>
      </w:pPr>
    </w:p>
    <w:p w:rsidR="000E4B30" w:rsidRDefault="000E4B30" w:rsidP="000E4B30">
      <w:pPr>
        <w:pStyle w:val="Prrafodelista"/>
        <w:rPr>
          <w:b/>
          <w:i/>
          <w:color w:val="0070C0"/>
          <w:sz w:val="23"/>
          <w:szCs w:val="23"/>
        </w:rPr>
      </w:pPr>
    </w:p>
    <w:p w:rsidR="000E4B30" w:rsidRDefault="000E4B30" w:rsidP="000E4B30">
      <w:pPr>
        <w:pStyle w:val="Prrafodelista"/>
        <w:rPr>
          <w:b/>
          <w:i/>
          <w:color w:val="0070C0"/>
          <w:sz w:val="23"/>
          <w:szCs w:val="23"/>
        </w:rPr>
      </w:pPr>
    </w:p>
    <w:p w:rsidR="000E4B30" w:rsidRDefault="000E4B30" w:rsidP="000E4B30">
      <w:pPr>
        <w:pStyle w:val="Prrafodelista"/>
        <w:rPr>
          <w:b/>
          <w:i/>
          <w:color w:val="0070C0"/>
          <w:sz w:val="23"/>
          <w:szCs w:val="23"/>
        </w:rPr>
      </w:pPr>
    </w:p>
    <w:p w:rsidR="000E4B30" w:rsidRDefault="000E4B30" w:rsidP="000E4B30">
      <w:pPr>
        <w:pStyle w:val="Prrafodelista"/>
        <w:numPr>
          <w:ilvl w:val="1"/>
          <w:numId w:val="20"/>
        </w:numPr>
        <w:rPr>
          <w:b/>
          <w:i/>
          <w:color w:val="2E74B5" w:themeColor="accent1" w:themeShade="BF"/>
          <w:sz w:val="23"/>
          <w:szCs w:val="23"/>
        </w:rPr>
      </w:pPr>
      <w:r w:rsidRPr="00B842DD">
        <w:rPr>
          <w:b/>
          <w:i/>
          <w:color w:val="2E74B5" w:themeColor="accent1" w:themeShade="BF"/>
          <w:sz w:val="23"/>
          <w:szCs w:val="23"/>
        </w:rPr>
        <w:t>PRESUPUESTO DE EGRESOS</w:t>
      </w:r>
    </w:p>
    <w:p w:rsidR="000E4B30" w:rsidRDefault="000E4B30" w:rsidP="000E4B30">
      <w:pPr>
        <w:rPr>
          <w:b/>
          <w:i/>
          <w:color w:val="2E74B5" w:themeColor="accent1" w:themeShade="BF"/>
          <w:sz w:val="23"/>
          <w:szCs w:val="23"/>
        </w:rPr>
      </w:pPr>
    </w:p>
    <w:tbl>
      <w:tblPr>
        <w:tblW w:w="5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0"/>
        <w:gridCol w:w="1480"/>
      </w:tblGrid>
      <w:tr w:rsidR="000E4B30" w:rsidRPr="001D3E6D" w:rsidTr="00F34562">
        <w:trPr>
          <w:trHeight w:val="210"/>
          <w:jc w:val="center"/>
        </w:trPr>
        <w:tc>
          <w:tcPr>
            <w:tcW w:w="3840" w:type="dxa"/>
            <w:shd w:val="clear" w:color="auto" w:fill="auto"/>
            <w:noWrap/>
            <w:vAlign w:val="center"/>
            <w:hideMark/>
          </w:tcPr>
          <w:p w:rsidR="000E4B30" w:rsidRPr="001D3E6D" w:rsidRDefault="000E4B30" w:rsidP="00F34562">
            <w:pPr>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Presupuesto de Egresos Aprobado</w:t>
            </w:r>
          </w:p>
        </w:tc>
        <w:tc>
          <w:tcPr>
            <w:tcW w:w="1480" w:type="dxa"/>
            <w:shd w:val="clear" w:color="auto" w:fill="auto"/>
            <w:noWrap/>
            <w:vAlign w:val="center"/>
            <w:hideMark/>
          </w:tcPr>
          <w:p w:rsidR="000E4B30" w:rsidRPr="001D3E6D" w:rsidRDefault="000E4B30" w:rsidP="00F34562">
            <w:pPr>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 </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$3,946,060.00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Federal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$45,463,715.00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Estatal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$48,674,730.00</w:t>
            </w:r>
          </w:p>
        </w:tc>
      </w:tr>
      <w:tr w:rsidR="000E4B30" w:rsidRPr="001D3E6D" w:rsidTr="00F34562">
        <w:trPr>
          <w:trHeight w:val="210"/>
          <w:jc w:val="center"/>
        </w:trPr>
        <w:tc>
          <w:tcPr>
            <w:tcW w:w="3840" w:type="dxa"/>
            <w:shd w:val="clear" w:color="auto" w:fill="auto"/>
            <w:noWrap/>
            <w:vAlign w:val="center"/>
            <w:hideMark/>
          </w:tcPr>
          <w:p w:rsidR="000E4B30" w:rsidRPr="001D3E6D" w:rsidRDefault="000E4B30" w:rsidP="00F34562">
            <w:pPr>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Presupuesto de Egresos por Ejercer</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 </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$12,713,638.23</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Federal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$335,700.35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Estatal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$1,099,998.07</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 Remanente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$1,632,581.41</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AIZJ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$419.50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PDLL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DELFIN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PRODEP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OERB</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$200,000.00</w:t>
            </w:r>
          </w:p>
        </w:tc>
      </w:tr>
      <w:tr w:rsidR="000E4B30" w:rsidRPr="001D3E6D" w:rsidTr="00F34562">
        <w:trPr>
          <w:trHeight w:val="210"/>
          <w:jc w:val="center"/>
        </w:trPr>
        <w:tc>
          <w:tcPr>
            <w:tcW w:w="3840" w:type="dxa"/>
            <w:shd w:val="clear" w:color="auto" w:fill="auto"/>
            <w:noWrap/>
            <w:vAlign w:val="center"/>
            <w:hideMark/>
          </w:tcPr>
          <w:p w:rsidR="000E4B30" w:rsidRPr="001D3E6D" w:rsidRDefault="000E4B30" w:rsidP="00F34562">
            <w:pPr>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Modificaciones al Presupuesto de Egresos Aprobado</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 </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$10,815,511.98</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Federal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Estatal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 Remanente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$3,715,310.50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AIZJ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$200,000.00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PDLL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$270,000.00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DELFIN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$134,800.00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PRODEP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$26,247.00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OERB</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$200,000.00</w:t>
            </w:r>
          </w:p>
        </w:tc>
      </w:tr>
      <w:tr w:rsidR="000E4B30" w:rsidRPr="001D3E6D" w:rsidTr="00F34562">
        <w:trPr>
          <w:trHeight w:val="210"/>
          <w:jc w:val="center"/>
        </w:trPr>
        <w:tc>
          <w:tcPr>
            <w:tcW w:w="3840" w:type="dxa"/>
            <w:shd w:val="clear" w:color="auto" w:fill="auto"/>
            <w:noWrap/>
            <w:vAlign w:val="center"/>
            <w:hideMark/>
          </w:tcPr>
          <w:p w:rsidR="000E4B30" w:rsidRPr="001D3E6D" w:rsidRDefault="000E4B30" w:rsidP="00F34562">
            <w:pPr>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Presupuesto de Egresos Comprometido</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 </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$2,047,933.75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Federal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$45,128,014.65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Estatal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$47,574,731.93</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 Remanente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$2,082,729.09</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AIZJ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$199,580.50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PDLL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$270,000.00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DELFIN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$134,800.00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PRODEP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$26,247.00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OERB</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r w:rsidR="000E4B30" w:rsidRPr="001D3E6D" w:rsidTr="00F34562">
        <w:trPr>
          <w:trHeight w:val="210"/>
          <w:jc w:val="center"/>
        </w:trPr>
        <w:tc>
          <w:tcPr>
            <w:tcW w:w="3840" w:type="dxa"/>
            <w:shd w:val="clear" w:color="auto" w:fill="auto"/>
            <w:noWrap/>
            <w:vAlign w:val="center"/>
            <w:hideMark/>
          </w:tcPr>
          <w:p w:rsidR="000E4B30" w:rsidRPr="001D3E6D" w:rsidRDefault="000E4B30" w:rsidP="00F34562">
            <w:pPr>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Presupuesto de Egresos Devengado</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 </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$2,047,933.75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Federal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$45,128,014.65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Estatal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$47,574,731.93</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 Remanente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$2,082,729.09</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AIZJ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$199,580.50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PDLL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$270,000.00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DELFIN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$134,800.00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PRODEP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$26,247.00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OERB</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r w:rsidR="000E4B30" w:rsidRPr="001D3E6D" w:rsidTr="00F34562">
        <w:trPr>
          <w:trHeight w:val="210"/>
          <w:jc w:val="center"/>
        </w:trPr>
        <w:tc>
          <w:tcPr>
            <w:tcW w:w="3840" w:type="dxa"/>
            <w:shd w:val="clear" w:color="auto" w:fill="auto"/>
            <w:noWrap/>
            <w:vAlign w:val="center"/>
            <w:hideMark/>
          </w:tcPr>
          <w:p w:rsidR="000E4B30" w:rsidRPr="001D3E6D" w:rsidRDefault="000E4B30" w:rsidP="00F34562">
            <w:pPr>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Presupuesto de Egresos Ejercido</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 </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$2,047,933.75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Federal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$45,128,014.65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Estatal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$47,574,731.93</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 Remanente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$2,082,729.09</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AIZJ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$199,580.50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PDLL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$270,000.00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DELFIN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$134,800.00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lastRenderedPageBreak/>
              <w:t>PRODEP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$26,247.00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OERB</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r w:rsidR="000E4B30" w:rsidRPr="001D3E6D" w:rsidTr="00F34562">
        <w:trPr>
          <w:trHeight w:val="210"/>
          <w:jc w:val="center"/>
        </w:trPr>
        <w:tc>
          <w:tcPr>
            <w:tcW w:w="3840" w:type="dxa"/>
            <w:shd w:val="clear" w:color="auto" w:fill="auto"/>
            <w:noWrap/>
            <w:vAlign w:val="center"/>
            <w:hideMark/>
          </w:tcPr>
          <w:p w:rsidR="000E4B30" w:rsidRPr="001D3E6D" w:rsidRDefault="000E4B30" w:rsidP="00F34562">
            <w:pPr>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Presupuesto de Egresos Pagado</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 </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$1,881,928.75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Federal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$45,128,014.65</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Estatal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$46,462,100.02</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Propios Remanente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$2,082,729.09</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AIZJ 2024</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$199,580.50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PDLL</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$270,000.00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ICTI DELFIN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$134,800.00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PRODEP 2025</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$26,247.00</w:t>
            </w:r>
          </w:p>
        </w:tc>
      </w:tr>
      <w:tr w:rsidR="000E4B30" w:rsidRPr="001D3E6D" w:rsidTr="00F34562">
        <w:trPr>
          <w:trHeight w:val="210"/>
          <w:jc w:val="center"/>
        </w:trPr>
        <w:tc>
          <w:tcPr>
            <w:tcW w:w="3840" w:type="dxa"/>
            <w:shd w:val="clear" w:color="auto" w:fill="auto"/>
            <w:vAlign w:val="center"/>
            <w:hideMark/>
          </w:tcPr>
          <w:p w:rsidR="000E4B30" w:rsidRPr="001D3E6D" w:rsidRDefault="000E4B30" w:rsidP="00F34562">
            <w:pPr>
              <w:jc w:val="center"/>
              <w:rPr>
                <w:rFonts w:ascii="Cambria" w:eastAsia="Times New Roman" w:hAnsi="Cambria" w:cs="Times New Roman"/>
                <w:b/>
                <w:bCs/>
                <w:color w:val="000000"/>
                <w:sz w:val="16"/>
                <w:szCs w:val="16"/>
                <w:lang w:eastAsia="es-MX"/>
              </w:rPr>
            </w:pPr>
            <w:r w:rsidRPr="001D3E6D">
              <w:rPr>
                <w:rFonts w:ascii="Cambria" w:eastAsia="Times New Roman" w:hAnsi="Cambria" w:cs="Times New Roman"/>
                <w:b/>
                <w:bCs/>
                <w:color w:val="000000"/>
                <w:sz w:val="16"/>
                <w:szCs w:val="16"/>
                <w:lang w:eastAsia="es-MX"/>
              </w:rPr>
              <w:t>SECIHTI OERB</w:t>
            </w:r>
          </w:p>
        </w:tc>
        <w:tc>
          <w:tcPr>
            <w:tcW w:w="1480" w:type="dxa"/>
            <w:shd w:val="clear" w:color="auto" w:fill="auto"/>
            <w:noWrap/>
            <w:vAlign w:val="center"/>
            <w:hideMark/>
          </w:tcPr>
          <w:p w:rsidR="000E4B30" w:rsidRPr="001D3E6D" w:rsidRDefault="000E4B30" w:rsidP="00F34562">
            <w:pPr>
              <w:jc w:val="right"/>
              <w:rPr>
                <w:rFonts w:ascii="Calibri" w:eastAsia="Times New Roman" w:hAnsi="Calibri" w:cs="Times New Roman"/>
                <w:color w:val="000000"/>
                <w:sz w:val="16"/>
                <w:szCs w:val="16"/>
                <w:lang w:eastAsia="es-MX"/>
              </w:rPr>
            </w:pPr>
            <w:r w:rsidRPr="001D3E6D">
              <w:rPr>
                <w:rFonts w:ascii="Calibri" w:eastAsia="Times New Roman" w:hAnsi="Calibri" w:cs="Times New Roman"/>
                <w:color w:val="000000"/>
                <w:sz w:val="16"/>
                <w:szCs w:val="16"/>
                <w:lang w:eastAsia="es-MX"/>
              </w:rPr>
              <w:t>$0.00</w:t>
            </w:r>
          </w:p>
        </w:tc>
      </w:tr>
    </w:tbl>
    <w:p w:rsidR="000E4B30" w:rsidRDefault="000E4B30" w:rsidP="000E4B30">
      <w:pPr>
        <w:rPr>
          <w:b/>
          <w:i/>
          <w:color w:val="2E74B5" w:themeColor="accent1" w:themeShade="BF"/>
          <w:sz w:val="23"/>
          <w:szCs w:val="23"/>
        </w:rPr>
      </w:pPr>
    </w:p>
    <w:p w:rsidR="000E4B30" w:rsidRDefault="000E4B30" w:rsidP="000E4B30">
      <w:pPr>
        <w:rPr>
          <w:b/>
          <w:i/>
          <w:color w:val="2E74B5" w:themeColor="accent1" w:themeShade="BF"/>
          <w:sz w:val="23"/>
          <w:szCs w:val="23"/>
        </w:rPr>
      </w:pPr>
    </w:p>
    <w:p w:rsidR="000E4B30" w:rsidRDefault="000E4B30" w:rsidP="000E4B30">
      <w:pPr>
        <w:rPr>
          <w:b/>
          <w:i/>
          <w:color w:val="2E74B5" w:themeColor="accent1" w:themeShade="BF"/>
          <w:sz w:val="23"/>
          <w:szCs w:val="23"/>
        </w:rPr>
      </w:pPr>
    </w:p>
    <w:p w:rsidR="000E4B30" w:rsidRDefault="000E4B30" w:rsidP="000E4B30">
      <w:pPr>
        <w:rPr>
          <w:b/>
          <w:i/>
          <w:color w:val="2E74B5" w:themeColor="accent1" w:themeShade="BF"/>
          <w:sz w:val="23"/>
          <w:szCs w:val="23"/>
        </w:rPr>
      </w:pPr>
    </w:p>
    <w:p w:rsidR="000E4B30" w:rsidRDefault="000E4B30" w:rsidP="000E4B30">
      <w:pPr>
        <w:rPr>
          <w:b/>
          <w:i/>
          <w:color w:val="2E74B5" w:themeColor="accent1" w:themeShade="BF"/>
          <w:sz w:val="23"/>
          <w:szCs w:val="23"/>
        </w:rPr>
      </w:pPr>
    </w:p>
    <w:p w:rsidR="000E4B30" w:rsidRPr="00DC563D" w:rsidRDefault="000E4B30" w:rsidP="000E4B30">
      <w:pPr>
        <w:tabs>
          <w:tab w:val="left" w:pos="0"/>
        </w:tabs>
        <w:jc w:val="both"/>
        <w:rPr>
          <w:sz w:val="22"/>
          <w:szCs w:val="22"/>
        </w:rPr>
      </w:pPr>
      <w:r w:rsidRPr="00DC563D">
        <w:rPr>
          <w:b/>
          <w:sz w:val="22"/>
          <w:szCs w:val="22"/>
        </w:rPr>
        <w:t>NOTAS:</w:t>
      </w:r>
      <w:r w:rsidRPr="00DC563D">
        <w:rPr>
          <w:sz w:val="22"/>
          <w:szCs w:val="22"/>
        </w:rPr>
        <w:t xml:space="preserve"> </w:t>
      </w:r>
    </w:p>
    <w:p w:rsidR="000E4B30" w:rsidRPr="00DC563D" w:rsidRDefault="000E4B30" w:rsidP="000E4B30">
      <w:pPr>
        <w:pStyle w:val="Prrafodelista"/>
        <w:tabs>
          <w:tab w:val="left" w:pos="0"/>
        </w:tabs>
        <w:ind w:left="426"/>
        <w:jc w:val="both"/>
        <w:rPr>
          <w:b/>
          <w:sz w:val="22"/>
          <w:szCs w:val="22"/>
        </w:rPr>
      </w:pPr>
    </w:p>
    <w:p w:rsidR="000E4B30" w:rsidRPr="00DC563D" w:rsidRDefault="000E4B30" w:rsidP="000E4B30">
      <w:pPr>
        <w:pStyle w:val="Prrafodelista"/>
        <w:numPr>
          <w:ilvl w:val="0"/>
          <w:numId w:val="19"/>
        </w:numPr>
        <w:tabs>
          <w:tab w:val="left" w:pos="0"/>
        </w:tabs>
        <w:ind w:left="426"/>
        <w:jc w:val="both"/>
        <w:rPr>
          <w:b/>
          <w:sz w:val="22"/>
          <w:szCs w:val="22"/>
        </w:rPr>
      </w:pPr>
      <w:r w:rsidRPr="00DC563D">
        <w:rPr>
          <w:sz w:val="22"/>
          <w:szCs w:val="22"/>
        </w:rPr>
        <w:t>Durante el mes de octubre de 2023 se recibió recurso EXTRAORDINARIO FEDERAL, mismo que se ejecutó en el transcurso del año antes mencionado, reintegrándose el recurso no ejercido a las instancias correspondientes durante el mes de enero 2024, quedando en cuentas solamente los productos financieros generados del durante el periodo que se tuvo el recurso. En el mes de marzo se recibió la línea de captura, pero únicamente consideraban enteros, por lo que en cuenta quedaron los centavos que no pudieron ser reintegrados debido a dicha línea de captura, quedando al cierre del mes $0.19 pendiente de reintegrar.</w:t>
      </w:r>
    </w:p>
    <w:p w:rsidR="000E4B30" w:rsidRPr="00DC563D" w:rsidRDefault="000E4B30" w:rsidP="000E4B30">
      <w:pPr>
        <w:pStyle w:val="Prrafodelista"/>
        <w:numPr>
          <w:ilvl w:val="0"/>
          <w:numId w:val="19"/>
        </w:numPr>
        <w:tabs>
          <w:tab w:val="left" w:pos="0"/>
        </w:tabs>
        <w:ind w:left="426"/>
        <w:jc w:val="both"/>
        <w:rPr>
          <w:b/>
          <w:sz w:val="22"/>
          <w:szCs w:val="22"/>
        </w:rPr>
      </w:pPr>
      <w:r w:rsidRPr="00DC563D">
        <w:rPr>
          <w:sz w:val="22"/>
          <w:szCs w:val="22"/>
        </w:rPr>
        <w:t xml:space="preserve">En el mes de junio del 2024 se realizaron convenios resultando lo siguiente: </w:t>
      </w:r>
    </w:p>
    <w:p w:rsidR="000E4B30" w:rsidRPr="00DC563D" w:rsidRDefault="000E4B30" w:rsidP="000E4B30">
      <w:pPr>
        <w:tabs>
          <w:tab w:val="left" w:pos="0"/>
        </w:tabs>
        <w:jc w:val="both"/>
        <w:rPr>
          <w:b/>
          <w:sz w:val="22"/>
          <w:szCs w:val="22"/>
        </w:rPr>
      </w:pPr>
    </w:p>
    <w:p w:rsidR="000E4B30" w:rsidRPr="00DC563D" w:rsidRDefault="000E4B30" w:rsidP="000E4B30">
      <w:pPr>
        <w:pStyle w:val="Prrafodelista"/>
        <w:numPr>
          <w:ilvl w:val="1"/>
          <w:numId w:val="19"/>
        </w:numPr>
        <w:tabs>
          <w:tab w:val="left" w:pos="0"/>
        </w:tabs>
        <w:ind w:left="709"/>
        <w:jc w:val="both"/>
        <w:rPr>
          <w:b/>
          <w:sz w:val="22"/>
          <w:szCs w:val="22"/>
        </w:rPr>
      </w:pPr>
      <w:r w:rsidRPr="00DC563D">
        <w:rPr>
          <w:sz w:val="22"/>
          <w:szCs w:val="22"/>
        </w:rPr>
        <w:t>CONVENIO CONAHCYT PDLL: Se firmó convenio el 24 de mayo de 2024. Este convenio es para ejecutarse en tres exhibiciones (durante el 2024, 2025 y 2026), se recibi</w:t>
      </w:r>
      <w:r>
        <w:rPr>
          <w:sz w:val="22"/>
          <w:szCs w:val="22"/>
        </w:rPr>
        <w:t xml:space="preserve">ó el recurso correspondiente al </w:t>
      </w:r>
      <w:r w:rsidRPr="00DC563D">
        <w:rPr>
          <w:sz w:val="22"/>
          <w:szCs w:val="22"/>
        </w:rPr>
        <w:t>año</w:t>
      </w:r>
      <w:r>
        <w:rPr>
          <w:sz w:val="22"/>
          <w:szCs w:val="22"/>
        </w:rPr>
        <w:t xml:space="preserve"> 2024 </w:t>
      </w:r>
      <w:r w:rsidRPr="00DC563D">
        <w:rPr>
          <w:sz w:val="22"/>
          <w:szCs w:val="22"/>
        </w:rPr>
        <w:t xml:space="preserve">el 24 de junio de 2024, y se ejecutó dentro de la </w:t>
      </w:r>
      <w:r>
        <w:rPr>
          <w:sz w:val="22"/>
          <w:szCs w:val="22"/>
        </w:rPr>
        <w:t>misma</w:t>
      </w:r>
      <w:r w:rsidRPr="00DC563D">
        <w:rPr>
          <w:sz w:val="22"/>
          <w:szCs w:val="22"/>
        </w:rPr>
        <w:t xml:space="preserve"> anualidad. </w:t>
      </w:r>
      <w:r>
        <w:rPr>
          <w:sz w:val="22"/>
          <w:szCs w:val="22"/>
        </w:rPr>
        <w:t>A finales del año mediante decreto ascendieron el rango del CONAHCYT a rango de una Secretaría de Estado, quedando el nombre de SECIHTI, por tal motivo se actualizó la cuenta a la cual llegará el recurso de los siguientes dos años (2025 presente y 2026). Se recibió recurso del 2025 el día 02 de abril y se ejecutará dentro de la presente anualidad.</w:t>
      </w:r>
    </w:p>
    <w:p w:rsidR="000E4B30" w:rsidRPr="002D2190" w:rsidRDefault="000E4B30" w:rsidP="000E4B30">
      <w:pPr>
        <w:pStyle w:val="Prrafodelista"/>
        <w:numPr>
          <w:ilvl w:val="0"/>
          <w:numId w:val="19"/>
        </w:numPr>
        <w:tabs>
          <w:tab w:val="left" w:pos="0"/>
        </w:tabs>
        <w:ind w:left="426"/>
        <w:jc w:val="both"/>
        <w:rPr>
          <w:b/>
          <w:sz w:val="22"/>
          <w:szCs w:val="22"/>
        </w:rPr>
      </w:pPr>
      <w:r w:rsidRPr="00DC563D">
        <w:rPr>
          <w:sz w:val="22"/>
          <w:szCs w:val="22"/>
        </w:rPr>
        <w:t xml:space="preserve">En el mes de </w:t>
      </w:r>
      <w:r>
        <w:rPr>
          <w:sz w:val="22"/>
          <w:szCs w:val="22"/>
        </w:rPr>
        <w:t>diciembre</w:t>
      </w:r>
      <w:r w:rsidRPr="00DC563D">
        <w:rPr>
          <w:sz w:val="22"/>
          <w:szCs w:val="22"/>
        </w:rPr>
        <w:t xml:space="preserve"> del 2024 se realizaron convenios resultando lo siguiente: </w:t>
      </w:r>
    </w:p>
    <w:p w:rsidR="000E4B30" w:rsidRPr="002D2190" w:rsidRDefault="000E4B30" w:rsidP="000E4B30">
      <w:pPr>
        <w:pStyle w:val="Prrafodelista"/>
        <w:numPr>
          <w:ilvl w:val="1"/>
          <w:numId w:val="19"/>
        </w:numPr>
        <w:tabs>
          <w:tab w:val="left" w:pos="0"/>
        </w:tabs>
        <w:ind w:left="709"/>
        <w:jc w:val="both"/>
        <w:rPr>
          <w:b/>
          <w:sz w:val="22"/>
          <w:szCs w:val="22"/>
        </w:rPr>
      </w:pPr>
      <w:r>
        <w:rPr>
          <w:sz w:val="22"/>
          <w:szCs w:val="22"/>
        </w:rPr>
        <w:t>CONVENIO CON SEE: Se realiza firma de convenio de colaboración con la Secretaría de Educación del Estado de fecha 26 de agosto de 2024, por la cantidad de $3’560,000.00, con el objeto de realizar la Formación y Actualización de personal docente de diferentes niveles educativos que designe la SEE. Dicho recurso se ejerce durante la presente anualidad.</w:t>
      </w:r>
    </w:p>
    <w:p w:rsidR="000E4B30" w:rsidRPr="00DC563D" w:rsidRDefault="000E4B30" w:rsidP="000E4B30">
      <w:pPr>
        <w:pStyle w:val="Prrafodelista"/>
        <w:numPr>
          <w:ilvl w:val="1"/>
          <w:numId w:val="19"/>
        </w:numPr>
        <w:tabs>
          <w:tab w:val="left" w:pos="0"/>
        </w:tabs>
        <w:ind w:left="709"/>
        <w:jc w:val="both"/>
        <w:rPr>
          <w:b/>
          <w:sz w:val="22"/>
          <w:szCs w:val="22"/>
        </w:rPr>
      </w:pPr>
      <w:r>
        <w:rPr>
          <w:sz w:val="22"/>
          <w:szCs w:val="22"/>
        </w:rPr>
        <w:t>CONVENIO CON ICTI: Se firmó convenio de asignación de recursos ICTI a nombre de Alberto Isaac Zepeda Jazo, con el número de convenio ICTI/CNV/046/2024, recibiendo apoyo por $200,000.00 para ejecutarse a más tardar el 28 de febrero de 2025. Al momento la cuenta ya está en ceros, ya que se reintegró lo no ejercido en el mes de marzo.</w:t>
      </w:r>
    </w:p>
    <w:p w:rsidR="000E4B30" w:rsidRPr="002D2190" w:rsidRDefault="000E4B30" w:rsidP="000E4B30">
      <w:pPr>
        <w:pStyle w:val="Prrafodelista"/>
        <w:numPr>
          <w:ilvl w:val="0"/>
          <w:numId w:val="19"/>
        </w:numPr>
        <w:tabs>
          <w:tab w:val="left" w:pos="0"/>
        </w:tabs>
        <w:ind w:left="426"/>
        <w:jc w:val="both"/>
        <w:rPr>
          <w:b/>
          <w:sz w:val="22"/>
          <w:szCs w:val="22"/>
        </w:rPr>
      </w:pPr>
      <w:r>
        <w:rPr>
          <w:sz w:val="22"/>
          <w:szCs w:val="22"/>
        </w:rPr>
        <w:t>En el presente mes</w:t>
      </w:r>
      <w:r w:rsidRPr="00DC563D">
        <w:rPr>
          <w:sz w:val="22"/>
          <w:szCs w:val="22"/>
        </w:rPr>
        <w:t xml:space="preserve"> se realizó convenio</w:t>
      </w:r>
      <w:r>
        <w:rPr>
          <w:sz w:val="22"/>
          <w:szCs w:val="22"/>
        </w:rPr>
        <w:t xml:space="preserve"> con ICTI</w:t>
      </w:r>
      <w:r w:rsidRPr="00DC563D">
        <w:rPr>
          <w:sz w:val="22"/>
          <w:szCs w:val="22"/>
        </w:rPr>
        <w:t xml:space="preserve"> resultando lo siguiente: </w:t>
      </w:r>
    </w:p>
    <w:p w:rsidR="000E4B30" w:rsidRPr="00E974F2" w:rsidRDefault="000E4B30" w:rsidP="000E4B30">
      <w:pPr>
        <w:pStyle w:val="Prrafodelista"/>
        <w:numPr>
          <w:ilvl w:val="1"/>
          <w:numId w:val="19"/>
        </w:numPr>
        <w:tabs>
          <w:tab w:val="left" w:pos="0"/>
        </w:tabs>
        <w:ind w:left="709"/>
        <w:jc w:val="both"/>
        <w:rPr>
          <w:b/>
          <w:sz w:val="22"/>
          <w:szCs w:val="22"/>
        </w:rPr>
      </w:pPr>
      <w:r>
        <w:rPr>
          <w:sz w:val="22"/>
          <w:szCs w:val="22"/>
        </w:rPr>
        <w:t xml:space="preserve">CONVENIO CON ICTI: Se realiza firma de convenio de colaboración con ICTI destinado para los alumnos seleccionados por el verano Delfín 2025, por la cantidad de $98,400.00. Dicho recurso se ejerce durante la presente anualidad. </w:t>
      </w:r>
    </w:p>
    <w:p w:rsidR="000E4B30" w:rsidRPr="00EB4CC8" w:rsidRDefault="000E4B30" w:rsidP="000E4B30">
      <w:pPr>
        <w:pStyle w:val="Prrafodelista"/>
        <w:numPr>
          <w:ilvl w:val="2"/>
          <w:numId w:val="19"/>
        </w:numPr>
        <w:tabs>
          <w:tab w:val="left" w:pos="0"/>
        </w:tabs>
        <w:ind w:left="1134"/>
        <w:jc w:val="both"/>
        <w:rPr>
          <w:b/>
          <w:sz w:val="22"/>
          <w:szCs w:val="22"/>
        </w:rPr>
      </w:pPr>
      <w:r>
        <w:rPr>
          <w:sz w:val="22"/>
          <w:szCs w:val="22"/>
        </w:rPr>
        <w:lastRenderedPageBreak/>
        <w:t>En apoyo de ICTI DELFIN 2025, se realizó un deposito más a esta cuenta por la cantidad de $36,400.00 el día 08 de septiembre, por lo cual se realizó una ampliación presupuestal por dicha cantidad.</w:t>
      </w:r>
    </w:p>
    <w:p w:rsidR="000E4B30" w:rsidRPr="0078140F" w:rsidRDefault="000E4B30" w:rsidP="000E4B30">
      <w:pPr>
        <w:pStyle w:val="Prrafodelista"/>
        <w:numPr>
          <w:ilvl w:val="2"/>
          <w:numId w:val="19"/>
        </w:numPr>
        <w:tabs>
          <w:tab w:val="left" w:pos="0"/>
        </w:tabs>
        <w:ind w:left="426"/>
        <w:jc w:val="both"/>
        <w:rPr>
          <w:b/>
          <w:i/>
          <w:color w:val="0070C0"/>
          <w:sz w:val="22"/>
          <w:szCs w:val="22"/>
        </w:rPr>
      </w:pPr>
      <w:r w:rsidRPr="00EB4CC8">
        <w:rPr>
          <w:sz w:val="22"/>
          <w:szCs w:val="22"/>
        </w:rPr>
        <w:t>En el mes de octubre de 2025 se recibieron recursos de PRODEP y se ejecutarán durante el transcurso del año mencionado</w:t>
      </w:r>
      <w:r>
        <w:rPr>
          <w:sz w:val="22"/>
          <w:szCs w:val="22"/>
        </w:rPr>
        <w:t>, de acuerdo a las reglas de aplicación del convenio.</w:t>
      </w:r>
    </w:p>
    <w:p w:rsidR="000E4B30" w:rsidRPr="0078140F" w:rsidRDefault="000E4B30" w:rsidP="000E4B30">
      <w:pPr>
        <w:pStyle w:val="Prrafodelista"/>
        <w:numPr>
          <w:ilvl w:val="2"/>
          <w:numId w:val="19"/>
        </w:numPr>
        <w:tabs>
          <w:tab w:val="left" w:pos="0"/>
        </w:tabs>
        <w:ind w:left="426"/>
        <w:jc w:val="both"/>
        <w:rPr>
          <w:b/>
          <w:i/>
          <w:color w:val="0070C0"/>
          <w:sz w:val="22"/>
          <w:szCs w:val="22"/>
        </w:rPr>
      </w:pPr>
      <w:r w:rsidRPr="00EB4CC8">
        <w:rPr>
          <w:sz w:val="22"/>
          <w:szCs w:val="22"/>
        </w:rPr>
        <w:t xml:space="preserve">En el mes de </w:t>
      </w:r>
      <w:r>
        <w:rPr>
          <w:sz w:val="22"/>
          <w:szCs w:val="22"/>
        </w:rPr>
        <w:t>diciembre</w:t>
      </w:r>
      <w:r w:rsidRPr="00EB4CC8">
        <w:rPr>
          <w:sz w:val="22"/>
          <w:szCs w:val="22"/>
        </w:rPr>
        <w:t xml:space="preserve"> de 2025 se recibieron recursos de </w:t>
      </w:r>
      <w:r>
        <w:rPr>
          <w:sz w:val="22"/>
          <w:szCs w:val="22"/>
        </w:rPr>
        <w:t>SECIHTI OERB</w:t>
      </w:r>
      <w:r w:rsidRPr="00EB4CC8">
        <w:rPr>
          <w:sz w:val="22"/>
          <w:szCs w:val="22"/>
        </w:rPr>
        <w:t xml:space="preserve"> </w:t>
      </w:r>
      <w:r>
        <w:rPr>
          <w:sz w:val="22"/>
          <w:szCs w:val="22"/>
        </w:rPr>
        <w:t xml:space="preserve">por la cantidad de 200,000.00 </w:t>
      </w:r>
      <w:r w:rsidRPr="00EB4CC8">
        <w:rPr>
          <w:sz w:val="22"/>
          <w:szCs w:val="22"/>
        </w:rPr>
        <w:t xml:space="preserve">y se ejecutarán durante </w:t>
      </w:r>
      <w:r>
        <w:rPr>
          <w:sz w:val="22"/>
          <w:szCs w:val="22"/>
        </w:rPr>
        <w:t xml:space="preserve">el transcurso del año 2026, de acuerdo a las reglas de aplicación del convenio. </w:t>
      </w:r>
      <w:r w:rsidRPr="00DC563D">
        <w:rPr>
          <w:sz w:val="22"/>
          <w:szCs w:val="22"/>
        </w:rPr>
        <w:t xml:space="preserve">Se firmó convenio el </w:t>
      </w:r>
      <w:r>
        <w:rPr>
          <w:sz w:val="22"/>
          <w:szCs w:val="22"/>
        </w:rPr>
        <w:t>13</w:t>
      </w:r>
      <w:r w:rsidRPr="00DC563D">
        <w:rPr>
          <w:sz w:val="22"/>
          <w:szCs w:val="22"/>
        </w:rPr>
        <w:t xml:space="preserve"> de </w:t>
      </w:r>
      <w:r>
        <w:rPr>
          <w:sz w:val="22"/>
          <w:szCs w:val="22"/>
        </w:rPr>
        <w:t>agosto de 2025</w:t>
      </w:r>
      <w:r w:rsidRPr="00DC563D">
        <w:rPr>
          <w:sz w:val="22"/>
          <w:szCs w:val="22"/>
        </w:rPr>
        <w:t>. Este convenio es para ejecutarse en tr</w:t>
      </w:r>
      <w:r>
        <w:rPr>
          <w:sz w:val="22"/>
          <w:szCs w:val="22"/>
        </w:rPr>
        <w:t>es exhibiciones (durante el 2025, 2026 y 2027</w:t>
      </w:r>
      <w:r w:rsidRPr="00DC563D">
        <w:rPr>
          <w:sz w:val="22"/>
          <w:szCs w:val="22"/>
        </w:rPr>
        <w:t>), se recibi</w:t>
      </w:r>
      <w:r>
        <w:rPr>
          <w:sz w:val="22"/>
          <w:szCs w:val="22"/>
        </w:rPr>
        <w:t xml:space="preserve">ó el recurso correspondiente al </w:t>
      </w:r>
      <w:r w:rsidRPr="00DC563D">
        <w:rPr>
          <w:sz w:val="22"/>
          <w:szCs w:val="22"/>
        </w:rPr>
        <w:t>año</w:t>
      </w:r>
      <w:r>
        <w:rPr>
          <w:sz w:val="22"/>
          <w:szCs w:val="22"/>
        </w:rPr>
        <w:t xml:space="preserve"> 2025 </w:t>
      </w:r>
      <w:r w:rsidRPr="00DC563D">
        <w:rPr>
          <w:sz w:val="22"/>
          <w:szCs w:val="22"/>
        </w:rPr>
        <w:t xml:space="preserve">el </w:t>
      </w:r>
      <w:r>
        <w:rPr>
          <w:sz w:val="22"/>
          <w:szCs w:val="22"/>
        </w:rPr>
        <w:t>17</w:t>
      </w:r>
      <w:r w:rsidRPr="00DC563D">
        <w:rPr>
          <w:sz w:val="22"/>
          <w:szCs w:val="22"/>
        </w:rPr>
        <w:t xml:space="preserve"> de </w:t>
      </w:r>
      <w:r>
        <w:rPr>
          <w:sz w:val="22"/>
          <w:szCs w:val="22"/>
        </w:rPr>
        <w:t>diciembre de 2025</w:t>
      </w:r>
      <w:r w:rsidRPr="00DC563D">
        <w:rPr>
          <w:sz w:val="22"/>
          <w:szCs w:val="22"/>
        </w:rPr>
        <w:t>, y se ejecut</w:t>
      </w:r>
      <w:r>
        <w:rPr>
          <w:sz w:val="22"/>
          <w:szCs w:val="22"/>
        </w:rPr>
        <w:t>ará en el 2026</w:t>
      </w:r>
      <w:r w:rsidRPr="00DC563D">
        <w:rPr>
          <w:sz w:val="22"/>
          <w:szCs w:val="22"/>
        </w:rPr>
        <w:t>.</w:t>
      </w:r>
    </w:p>
    <w:p w:rsidR="000E4B30" w:rsidRPr="0078140F" w:rsidRDefault="000E4B30" w:rsidP="000E4B30">
      <w:pPr>
        <w:pStyle w:val="Prrafodelista"/>
        <w:numPr>
          <w:ilvl w:val="2"/>
          <w:numId w:val="19"/>
        </w:numPr>
        <w:tabs>
          <w:tab w:val="left" w:pos="0"/>
        </w:tabs>
        <w:ind w:left="426"/>
        <w:jc w:val="both"/>
        <w:rPr>
          <w:sz w:val="22"/>
          <w:szCs w:val="22"/>
        </w:rPr>
      </w:pPr>
      <w:r w:rsidRPr="0078140F">
        <w:rPr>
          <w:sz w:val="22"/>
          <w:szCs w:val="22"/>
        </w:rPr>
        <w:t xml:space="preserve">En el mes de diciembre </w:t>
      </w:r>
      <w:r>
        <w:rPr>
          <w:sz w:val="22"/>
          <w:szCs w:val="22"/>
        </w:rPr>
        <w:t xml:space="preserve">se devengaron recursos propios por la cantidad de 10’855,643.04, de los cuales dos cantidades son por convenios con la SEE, uno es por la cantidad de $4’052,000.00 y otro por $6’763,511.98, el resto es lo correspondiente a lo recaudado por trámites y servicios de la Universidad que se depositaran a la cuenta durante el mes de enero 2026, sin embargo, quedan pendientes de recibir debido a que aún no se recauda el recurso puesto que aún está en la cuenta concentradora de la Secretaría de Finanzas, por tal motivo, se realizó una ampliación presupuestal, puesto que se tiene el derecho jurídico a recibir dichos recursos, y aunque el dinero aún no se ha recaudado en las cuentas de la UCEMICH, quedan registrados al momento del devengado. </w:t>
      </w:r>
    </w:p>
    <w:p w:rsidR="000E4B30" w:rsidRDefault="000E4B30" w:rsidP="000E4B30">
      <w:pPr>
        <w:tabs>
          <w:tab w:val="left" w:pos="0"/>
        </w:tabs>
        <w:jc w:val="both"/>
        <w:rPr>
          <w:b/>
          <w:i/>
          <w:color w:val="0070C0"/>
          <w:sz w:val="22"/>
          <w:szCs w:val="22"/>
        </w:rPr>
      </w:pPr>
    </w:p>
    <w:p w:rsidR="000E4B30" w:rsidRDefault="000E4B30" w:rsidP="000E4B30">
      <w:pPr>
        <w:tabs>
          <w:tab w:val="left" w:pos="0"/>
        </w:tabs>
        <w:jc w:val="both"/>
        <w:rPr>
          <w:b/>
          <w:i/>
          <w:color w:val="0070C0"/>
          <w:sz w:val="22"/>
          <w:szCs w:val="22"/>
        </w:rPr>
      </w:pPr>
    </w:p>
    <w:p w:rsidR="000E4B30" w:rsidRPr="00EF3B2C" w:rsidRDefault="000E4B30" w:rsidP="000E4B30">
      <w:pPr>
        <w:tabs>
          <w:tab w:val="left" w:pos="0"/>
        </w:tabs>
        <w:jc w:val="both"/>
        <w:rPr>
          <w:b/>
          <w:i/>
          <w:color w:val="0070C0"/>
          <w:sz w:val="22"/>
          <w:szCs w:val="22"/>
        </w:rPr>
      </w:pPr>
    </w:p>
    <w:p w:rsidR="000E4B30" w:rsidRPr="00DC563D" w:rsidRDefault="000E4B30" w:rsidP="000E4B30">
      <w:pPr>
        <w:rPr>
          <w:b/>
          <w:i/>
          <w:color w:val="0070C0"/>
          <w:sz w:val="22"/>
          <w:szCs w:val="22"/>
        </w:rPr>
      </w:pPr>
    </w:p>
    <w:tbl>
      <w:tblPr>
        <w:tblStyle w:val="Tablaconcuadrcula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0E4B30" w:rsidRPr="00DC563D" w:rsidTr="00F34562">
        <w:trPr>
          <w:jc w:val="center"/>
        </w:trPr>
        <w:tc>
          <w:tcPr>
            <w:tcW w:w="4678" w:type="dxa"/>
          </w:tcPr>
          <w:p w:rsidR="000E4B30" w:rsidRPr="00DC563D" w:rsidRDefault="000E4B30" w:rsidP="00F34562">
            <w:pPr>
              <w:jc w:val="center"/>
              <w:rPr>
                <w:rFonts w:eastAsiaTheme="minorHAnsi"/>
                <w:lang w:eastAsia="en-US"/>
              </w:rPr>
            </w:pPr>
            <w:r w:rsidRPr="00DC563D">
              <w:rPr>
                <w:rFonts w:eastAsiaTheme="minorHAnsi"/>
                <w:lang w:eastAsia="en-US"/>
              </w:rPr>
              <w:t>ELABORÓ</w:t>
            </w:r>
          </w:p>
          <w:p w:rsidR="000E4B30" w:rsidRDefault="000E4B30" w:rsidP="00F34562">
            <w:pPr>
              <w:rPr>
                <w:rFonts w:eastAsiaTheme="minorHAnsi"/>
                <w:lang w:eastAsia="en-US"/>
              </w:rPr>
            </w:pPr>
          </w:p>
          <w:p w:rsidR="000E4B30" w:rsidRDefault="000E4B30" w:rsidP="00F34562">
            <w:pPr>
              <w:rPr>
                <w:rFonts w:eastAsiaTheme="minorHAnsi"/>
                <w:lang w:eastAsia="en-US"/>
              </w:rPr>
            </w:pPr>
          </w:p>
          <w:p w:rsidR="000E4B30" w:rsidRDefault="000E4B30" w:rsidP="00F34562">
            <w:pPr>
              <w:rPr>
                <w:rFonts w:eastAsiaTheme="minorHAnsi"/>
                <w:lang w:eastAsia="en-US"/>
              </w:rPr>
            </w:pPr>
          </w:p>
          <w:p w:rsidR="000E4B30" w:rsidRPr="00DC563D" w:rsidRDefault="000E4B30" w:rsidP="00F34562">
            <w:pPr>
              <w:rPr>
                <w:rFonts w:eastAsiaTheme="minorHAnsi"/>
                <w:lang w:eastAsia="en-US"/>
              </w:rPr>
            </w:pPr>
          </w:p>
        </w:tc>
        <w:tc>
          <w:tcPr>
            <w:tcW w:w="4394" w:type="dxa"/>
          </w:tcPr>
          <w:p w:rsidR="000E4B30" w:rsidRPr="00DC563D" w:rsidRDefault="000E4B30" w:rsidP="00F34562">
            <w:pPr>
              <w:jc w:val="center"/>
              <w:rPr>
                <w:rFonts w:eastAsiaTheme="minorHAnsi"/>
                <w:lang w:eastAsia="en-US"/>
              </w:rPr>
            </w:pPr>
            <w:r w:rsidRPr="00DC563D">
              <w:rPr>
                <w:rFonts w:eastAsiaTheme="minorHAnsi"/>
                <w:lang w:eastAsia="en-US"/>
              </w:rPr>
              <w:t>REVISÓ</w:t>
            </w:r>
          </w:p>
          <w:p w:rsidR="000E4B30" w:rsidRPr="00DC563D" w:rsidRDefault="000E4B30" w:rsidP="00F34562">
            <w:pPr>
              <w:rPr>
                <w:rFonts w:eastAsiaTheme="minorHAnsi"/>
                <w:lang w:eastAsia="en-US"/>
              </w:rPr>
            </w:pPr>
          </w:p>
          <w:p w:rsidR="000E4B30" w:rsidRPr="00DC563D" w:rsidRDefault="000E4B30" w:rsidP="00F34562">
            <w:pPr>
              <w:rPr>
                <w:rFonts w:ascii="Arial" w:hAnsi="Arial" w:cs="Arial"/>
              </w:rPr>
            </w:pPr>
          </w:p>
        </w:tc>
      </w:tr>
      <w:tr w:rsidR="000E4B30" w:rsidRPr="00DC563D" w:rsidTr="00F34562">
        <w:trPr>
          <w:jc w:val="center"/>
        </w:trPr>
        <w:tc>
          <w:tcPr>
            <w:tcW w:w="4678" w:type="dxa"/>
          </w:tcPr>
          <w:p w:rsidR="000E4B30" w:rsidRPr="00DC563D" w:rsidRDefault="000E4B30" w:rsidP="00F34562">
            <w:pPr>
              <w:jc w:val="center"/>
            </w:pPr>
            <w:r w:rsidRPr="00DC563D">
              <w:t>LIC. MARÍA DE LOS ÁNGELES VILLA PAREDES</w:t>
            </w:r>
          </w:p>
          <w:p w:rsidR="000E4B30" w:rsidRPr="00DC563D" w:rsidRDefault="000E4B30" w:rsidP="00F34562">
            <w:pPr>
              <w:jc w:val="center"/>
              <w:rPr>
                <w:b/>
              </w:rPr>
            </w:pPr>
            <w:r w:rsidRPr="00DC563D">
              <w:rPr>
                <w:b/>
              </w:rPr>
              <w:t>JEFA DEL DEPTO DE CONTABILIDAD Y FINANZAS</w:t>
            </w:r>
          </w:p>
        </w:tc>
        <w:tc>
          <w:tcPr>
            <w:tcW w:w="4394" w:type="dxa"/>
          </w:tcPr>
          <w:p w:rsidR="000E4B30" w:rsidRPr="00DC563D" w:rsidRDefault="000E4B30" w:rsidP="00F34562">
            <w:pPr>
              <w:jc w:val="center"/>
            </w:pPr>
            <w:r w:rsidRPr="00DC563D">
              <w:t>LIC. ALICIA LIZBETH HERRERA MARTÍNEZ</w:t>
            </w:r>
          </w:p>
          <w:p w:rsidR="000E4B30" w:rsidRPr="00DC563D" w:rsidRDefault="000E4B30" w:rsidP="00F34562">
            <w:pPr>
              <w:jc w:val="center"/>
              <w:rPr>
                <w:rFonts w:ascii="Arial" w:hAnsi="Arial" w:cs="Arial"/>
                <w:b/>
                <w:highlight w:val="yellow"/>
              </w:rPr>
            </w:pPr>
            <w:r w:rsidRPr="00DC563D">
              <w:rPr>
                <w:b/>
              </w:rPr>
              <w:t>SECRETARIA DE ADMINISTRACIÓN</w:t>
            </w:r>
          </w:p>
        </w:tc>
      </w:tr>
    </w:tbl>
    <w:p w:rsidR="000E4B30" w:rsidRPr="005E44CD" w:rsidRDefault="000E4B30" w:rsidP="000E4B30">
      <w:pPr>
        <w:jc w:val="both"/>
        <w:rPr>
          <w:sz w:val="23"/>
          <w:szCs w:val="23"/>
        </w:rPr>
      </w:pPr>
      <w:r>
        <w:rPr>
          <w:sz w:val="16"/>
          <w:szCs w:val="23"/>
        </w:rPr>
        <w:t>“Bajo protesta de decir verdad declaramos que los Estados Financieros y sus notas, son razonablemente correctos y son responsabilidad del emisor”</w:t>
      </w:r>
    </w:p>
    <w:p w:rsidR="00935711" w:rsidRPr="000E4B30" w:rsidRDefault="00935711">
      <w:bookmarkStart w:id="0" w:name="_GoBack"/>
      <w:bookmarkEnd w:id="0"/>
    </w:p>
    <w:sectPr w:rsidR="00935711" w:rsidRPr="000E4B3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62D" w:rsidRDefault="00E8262D" w:rsidP="000E4B30">
      <w:r>
        <w:separator/>
      </w:r>
    </w:p>
  </w:endnote>
  <w:endnote w:type="continuationSeparator" w:id="0">
    <w:p w:rsidR="00E8262D" w:rsidRDefault="00E8262D" w:rsidP="000E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62D" w:rsidRDefault="00E8262D" w:rsidP="000E4B30">
      <w:r>
        <w:separator/>
      </w:r>
    </w:p>
  </w:footnote>
  <w:footnote w:type="continuationSeparator" w:id="0">
    <w:p w:rsidR="00E8262D" w:rsidRDefault="00E8262D" w:rsidP="000E4B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30" w:rsidRDefault="000E4B30">
    <w:pPr>
      <w:pStyle w:val="Encabezado"/>
    </w:pPr>
    <w:r>
      <w:rPr>
        <w:noProof/>
        <w:lang w:eastAsia="es-MX"/>
      </w:rPr>
      <w:pict w14:anchorId="79196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93456" o:spid="_x0000_s2049" type="#_x0000_t75" alt="" style="position:absolute;margin-left:0;margin-top:0;width:605.6pt;height:783.75pt;z-index:-251658240;mso-wrap-edited:f;mso-width-percent:0;mso-height-percent:0;mso-position-horizontal:center;mso-position-horizontal-relative:margin;mso-position-vertical:center;mso-position-vertical-relative:margin;mso-width-percent:0;mso-height-percent:0" o:allowincell="f">
          <v:imagedata r:id="rId1" o:title="hoja membretada intern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5412"/>
    <w:multiLevelType w:val="hybridMultilevel"/>
    <w:tmpl w:val="6E841ACE"/>
    <w:lvl w:ilvl="0" w:tplc="F2F411B4">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2F575D4"/>
    <w:multiLevelType w:val="hybridMultilevel"/>
    <w:tmpl w:val="73806588"/>
    <w:lvl w:ilvl="0" w:tplc="080A0001">
      <w:start w:val="1"/>
      <w:numFmt w:val="bullet"/>
      <w:lvlText w:val=""/>
      <w:lvlJc w:val="left"/>
      <w:pPr>
        <w:ind w:left="720" w:hanging="360"/>
      </w:pPr>
      <w:rPr>
        <w:rFonts w:ascii="Symbol" w:hAnsi="Symbol" w:hint="default"/>
      </w:rPr>
    </w:lvl>
    <w:lvl w:ilvl="1" w:tplc="778CD3F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AD7ADF"/>
    <w:multiLevelType w:val="hybridMultilevel"/>
    <w:tmpl w:val="D640F54C"/>
    <w:lvl w:ilvl="0" w:tplc="080A0003">
      <w:start w:val="1"/>
      <w:numFmt w:val="bullet"/>
      <w:lvlText w:val="o"/>
      <w:lvlJc w:val="left"/>
      <w:pPr>
        <w:ind w:left="1428" w:hanging="360"/>
      </w:pPr>
      <w:rPr>
        <w:rFonts w:ascii="Courier New" w:hAnsi="Courier New" w:cs="Courier New" w:hint="default"/>
        <w:u w:color="8496B0" w:themeColor="text2" w:themeTint="99"/>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24191EBB"/>
    <w:multiLevelType w:val="multilevel"/>
    <w:tmpl w:val="080A001D"/>
    <w:numStyleLink w:val="Estilo1"/>
  </w:abstractNum>
  <w:abstractNum w:abstractNumId="4" w15:restartNumberingAfterBreak="0">
    <w:nsid w:val="28101808"/>
    <w:multiLevelType w:val="hybridMultilevel"/>
    <w:tmpl w:val="4D3669A6"/>
    <w:lvl w:ilvl="0" w:tplc="876EEB48">
      <w:start w:val="2"/>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CC5CDF"/>
    <w:multiLevelType w:val="hybridMultilevel"/>
    <w:tmpl w:val="C2C6A3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7304A0"/>
    <w:multiLevelType w:val="hybridMultilevel"/>
    <w:tmpl w:val="3E326370"/>
    <w:lvl w:ilvl="0" w:tplc="5CE09716">
      <w:start w:val="1"/>
      <w:numFmt w:val="bullet"/>
      <w:lvlText w:val=""/>
      <w:lvlJc w:val="left"/>
      <w:pPr>
        <w:ind w:left="720" w:hanging="360"/>
      </w:pPr>
      <w:rPr>
        <w:rFonts w:ascii="Symbol" w:hAnsi="Symbol" w:hint="default"/>
        <w:color w:val="0070C0"/>
        <w:u w:color="8496B0" w:themeColor="text2" w:themeTint="99"/>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2F0B02"/>
    <w:multiLevelType w:val="multilevel"/>
    <w:tmpl w:val="7BD8743A"/>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0F5F79"/>
    <w:multiLevelType w:val="hybridMultilevel"/>
    <w:tmpl w:val="FB4E66DC"/>
    <w:lvl w:ilvl="0" w:tplc="3BFECF54">
      <w:start w:val="1"/>
      <w:numFmt w:val="bullet"/>
      <w:lvlText w:val=""/>
      <w:lvlJc w:val="left"/>
      <w:pPr>
        <w:ind w:left="1428" w:hanging="360"/>
      </w:pPr>
      <w:rPr>
        <w:rFonts w:ascii="Symbol" w:hAnsi="Symbol" w:hint="default"/>
        <w:color w:val="0070C0"/>
        <w:u w:color="8496B0" w:themeColor="text2" w:themeTint="99"/>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460164A3"/>
    <w:multiLevelType w:val="hybridMultilevel"/>
    <w:tmpl w:val="8BAA61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B0C613A2">
      <w:start w:val="1"/>
      <w:numFmt w:val="bullet"/>
      <w:lvlText w:val=""/>
      <w:lvlJc w:val="left"/>
      <w:pPr>
        <w:ind w:left="2160" w:hanging="360"/>
      </w:pPr>
      <w:rPr>
        <w:rFonts w:ascii="Symbol" w:hAnsi="Symbol" w:hint="default"/>
        <w:color w:val="auto"/>
        <w:u w:color="8496B0" w:themeColor="text2" w:themeTint="99"/>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4B1219"/>
    <w:multiLevelType w:val="hybridMultilevel"/>
    <w:tmpl w:val="F4FAA530"/>
    <w:lvl w:ilvl="0" w:tplc="3BFECF54">
      <w:start w:val="1"/>
      <w:numFmt w:val="bullet"/>
      <w:lvlText w:val=""/>
      <w:lvlJc w:val="left"/>
      <w:pPr>
        <w:ind w:left="1788" w:hanging="360"/>
      </w:pPr>
      <w:rPr>
        <w:rFonts w:ascii="Symbol" w:hAnsi="Symbol" w:hint="default"/>
        <w:color w:val="0070C0"/>
        <w:u w:color="8496B0" w:themeColor="text2" w:themeTint="99"/>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2FD7E8C"/>
    <w:multiLevelType w:val="multilevel"/>
    <w:tmpl w:val="080A001D"/>
    <w:styleLink w:val="Estilo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2A0DB8"/>
    <w:multiLevelType w:val="hybridMultilevel"/>
    <w:tmpl w:val="F3CED31A"/>
    <w:lvl w:ilvl="0" w:tplc="F8A67E76">
      <w:start w:val="1"/>
      <w:numFmt w:val="bullet"/>
      <w:lvlText w:val=""/>
      <w:lvlJc w:val="left"/>
      <w:pPr>
        <w:ind w:left="1428" w:hanging="360"/>
      </w:pPr>
      <w:rPr>
        <w:rFonts w:ascii="Symbol" w:hAnsi="Symbol" w:hint="default"/>
        <w:u w:color="8496B0" w:themeColor="text2" w:themeTint="99"/>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A762013"/>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5B2BFF"/>
    <w:multiLevelType w:val="hybridMultilevel"/>
    <w:tmpl w:val="22441128"/>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E0776A0"/>
    <w:multiLevelType w:val="hybridMultilevel"/>
    <w:tmpl w:val="31FE6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FD654D"/>
    <w:multiLevelType w:val="multilevel"/>
    <w:tmpl w:val="7BD8743A"/>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AF5423"/>
    <w:multiLevelType w:val="hybridMultilevel"/>
    <w:tmpl w:val="C8226994"/>
    <w:lvl w:ilvl="0" w:tplc="5CE09716">
      <w:start w:val="1"/>
      <w:numFmt w:val="bullet"/>
      <w:lvlText w:val=""/>
      <w:lvlJc w:val="left"/>
      <w:pPr>
        <w:ind w:left="720" w:hanging="360"/>
      </w:pPr>
      <w:rPr>
        <w:rFonts w:ascii="Symbol" w:hAnsi="Symbol" w:hint="default"/>
        <w:color w:val="0070C0"/>
        <w:u w:color="8496B0" w:themeColor="text2" w:themeTint="99"/>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661848"/>
    <w:multiLevelType w:val="multilevel"/>
    <w:tmpl w:val="E2CC71BC"/>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4B47CC3"/>
    <w:multiLevelType w:val="hybridMultilevel"/>
    <w:tmpl w:val="2EE8E67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abstractNumId w:val="16"/>
  </w:num>
  <w:num w:numId="2">
    <w:abstractNumId w:val="13"/>
  </w:num>
  <w:num w:numId="3">
    <w:abstractNumId w:val="15"/>
  </w:num>
  <w:num w:numId="4">
    <w:abstractNumId w:val="4"/>
  </w:num>
  <w:num w:numId="5">
    <w:abstractNumId w:val="0"/>
  </w:num>
  <w:num w:numId="6">
    <w:abstractNumId w:val="7"/>
  </w:num>
  <w:num w:numId="7">
    <w:abstractNumId w:val="1"/>
  </w:num>
  <w:num w:numId="8">
    <w:abstractNumId w:val="19"/>
  </w:num>
  <w:num w:numId="9">
    <w:abstractNumId w:val="18"/>
  </w:num>
  <w:num w:numId="10">
    <w:abstractNumId w:val="11"/>
  </w:num>
  <w:num w:numId="11">
    <w:abstractNumId w:val="3"/>
  </w:num>
  <w:num w:numId="12">
    <w:abstractNumId w:val="6"/>
  </w:num>
  <w:num w:numId="13">
    <w:abstractNumId w:val="14"/>
  </w:num>
  <w:num w:numId="14">
    <w:abstractNumId w:val="2"/>
  </w:num>
  <w:num w:numId="15">
    <w:abstractNumId w:val="12"/>
  </w:num>
  <w:num w:numId="16">
    <w:abstractNumId w:val="17"/>
  </w:num>
  <w:num w:numId="17">
    <w:abstractNumId w:val="8"/>
  </w:num>
  <w:num w:numId="18">
    <w:abstractNumId w:val="10"/>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0A"/>
    <w:rsid w:val="000E4B30"/>
    <w:rsid w:val="00935711"/>
    <w:rsid w:val="00A9250A"/>
    <w:rsid w:val="00E826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A3F4E3-5863-4464-8342-469EB225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B30"/>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B30"/>
    <w:pPr>
      <w:tabs>
        <w:tab w:val="center" w:pos="4419"/>
        <w:tab w:val="right" w:pos="8838"/>
      </w:tabs>
    </w:pPr>
  </w:style>
  <w:style w:type="character" w:customStyle="1" w:styleId="EncabezadoCar">
    <w:name w:val="Encabezado Car"/>
    <w:basedOn w:val="Fuentedeprrafopredeter"/>
    <w:link w:val="Encabezado"/>
    <w:uiPriority w:val="99"/>
    <w:rsid w:val="000E4B30"/>
  </w:style>
  <w:style w:type="paragraph" w:styleId="Piedepgina">
    <w:name w:val="footer"/>
    <w:basedOn w:val="Normal"/>
    <w:link w:val="PiedepginaCar"/>
    <w:uiPriority w:val="99"/>
    <w:unhideWhenUsed/>
    <w:rsid w:val="000E4B30"/>
    <w:pPr>
      <w:tabs>
        <w:tab w:val="center" w:pos="4419"/>
        <w:tab w:val="right" w:pos="8838"/>
      </w:tabs>
    </w:pPr>
  </w:style>
  <w:style w:type="character" w:customStyle="1" w:styleId="PiedepginaCar">
    <w:name w:val="Pie de página Car"/>
    <w:basedOn w:val="Fuentedeprrafopredeter"/>
    <w:link w:val="Piedepgina"/>
    <w:uiPriority w:val="99"/>
    <w:rsid w:val="000E4B30"/>
  </w:style>
  <w:style w:type="paragraph" w:styleId="Prrafodelista">
    <w:name w:val="List Paragraph"/>
    <w:basedOn w:val="Normal"/>
    <w:uiPriority w:val="34"/>
    <w:qFormat/>
    <w:rsid w:val="000E4B30"/>
    <w:pPr>
      <w:ind w:left="720"/>
      <w:contextualSpacing/>
    </w:pPr>
  </w:style>
  <w:style w:type="table" w:styleId="Tablaconcuadrcula">
    <w:name w:val="Table Grid"/>
    <w:basedOn w:val="Tablanormal"/>
    <w:uiPriority w:val="59"/>
    <w:rsid w:val="000E4B3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E4B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4B30"/>
    <w:pPr>
      <w:widowControl w:val="0"/>
      <w:autoSpaceDE w:val="0"/>
      <w:autoSpaceDN w:val="0"/>
      <w:spacing w:before="11"/>
      <w:ind w:right="20"/>
      <w:jc w:val="right"/>
    </w:pPr>
    <w:rPr>
      <w:rFonts w:ascii="Arial" w:eastAsia="Arial" w:hAnsi="Arial" w:cs="Arial"/>
      <w:kern w:val="0"/>
      <w:sz w:val="22"/>
      <w:szCs w:val="22"/>
      <w:lang w:val="en-US"/>
      <w14:ligatures w14:val="none"/>
    </w:rPr>
  </w:style>
  <w:style w:type="table" w:customStyle="1" w:styleId="Tablaconcuadrcula1">
    <w:name w:val="Tabla con cuadrícula1"/>
    <w:basedOn w:val="Tablanormal"/>
    <w:next w:val="Tablaconcuadrcula"/>
    <w:uiPriority w:val="59"/>
    <w:rsid w:val="000E4B30"/>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Estilo1">
    <w:name w:val="Estilo1"/>
    <w:uiPriority w:val="99"/>
    <w:rsid w:val="000E4B3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5676</Words>
  <Characters>31218</Characters>
  <Application>Microsoft Office Word</Application>
  <DocSecurity>0</DocSecurity>
  <Lines>260</Lines>
  <Paragraphs>73</Paragraphs>
  <ScaleCrop>false</ScaleCrop>
  <Company>InKulpado666</Company>
  <LinksUpToDate>false</LinksUpToDate>
  <CharactersWithSpaces>36821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2</cp:revision>
  <dcterms:created xsi:type="dcterms:W3CDTF">2026-02-10T00:48:00Z</dcterms:created>
  <dcterms:modified xsi:type="dcterms:W3CDTF">2026-02-10T00:50:00Z</dcterms:modified>
</cp:coreProperties>
</file>